
<file path=[Content_Types].xml><?xml version="1.0" encoding="utf-8"?>
<Types xmlns="http://schemas.openxmlformats.org/package/2006/content-types">
  <Default ContentType="application/xml" Extension="xml"/>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1"/>
      <w:bookmarkEnd w:id="1"/>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Framework Schedule 7 (Call-Off Award Procedure</w:t>
      </w:r>
      <w:bookmarkStart w:colFirst="0" w:colLast="0" w:name="bookmark=id.30j0zll" w:id="0"/>
      <w:bookmarkEnd w:id="0"/>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1: Order Procedure</w:t>
      </w:r>
    </w:p>
    <w:p w:rsidR="00000000" w:rsidDel="00000000" w:rsidP="00000000" w:rsidRDefault="00000000" w:rsidRPr="00000000" w14:paraId="00000003">
      <w:pPr>
        <w:keepNext w:val="1"/>
        <w:keepLines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a Call-Off Contract is awarded</w:t>
      </w:r>
    </w:p>
    <w:p w:rsidR="00000000" w:rsidDel="00000000" w:rsidP="00000000" w:rsidRDefault="00000000" w:rsidRPr="00000000" w14:paraId="00000004">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i w:val="0"/>
          <w:smallCaps w:val="0"/>
          <w:strike w:val="0"/>
          <w:color w:val="000000"/>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potential Buyer decides to source Deliverables through this Contract then it will award its Deliverables in accordance with the procedure in this Schedule and the requirements of the Regulations.</w:t>
      </w:r>
      <w:r w:rsidDel="00000000" w:rsidR="00000000" w:rsidRPr="00000000">
        <w:rPr>
          <w:rtl w:val="0"/>
        </w:rPr>
      </w:r>
    </w:p>
    <w:p w:rsidR="00000000" w:rsidDel="00000000" w:rsidP="00000000" w:rsidRDefault="00000000" w:rsidRPr="00000000" w14:paraId="00000005">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i w:val="0"/>
          <w:smallCaps w:val="0"/>
          <w:strike w:val="0"/>
          <w:color w:val="000000"/>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potential Buyer can determine that:</w:t>
      </w:r>
      <w:r w:rsidDel="00000000" w:rsidR="00000000" w:rsidRPr="00000000">
        <w:rPr>
          <w:rtl w:val="0"/>
        </w:rPr>
      </w:r>
    </w:p>
    <w:p w:rsidR="00000000" w:rsidDel="00000000" w:rsidP="00000000" w:rsidRDefault="00000000" w:rsidRPr="00000000" w14:paraId="00000006">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its Deliverables can be met by the Suppliers’ catalogues and description of the Deliverables as set out in Framework Schedule 1 (Specification) and Framework Schedule 2 (Framework Tender); and</w:t>
      </w:r>
      <w:r w:rsidDel="00000000" w:rsidR="00000000" w:rsidRPr="00000000">
        <w:rPr>
          <w:rtl w:val="0"/>
        </w:rPr>
      </w:r>
    </w:p>
    <w:p w:rsidR="00000000" w:rsidDel="00000000" w:rsidP="00000000" w:rsidRDefault="00000000" w:rsidRPr="00000000" w14:paraId="00000007">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of the terms of the proposed Call-Off Contract are laid down in this Contract and do not require amendment or any supplementary terms and conditions;</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4536"/>
        </w:tabs>
        <w:spacing w:after="220" w:before="0" w:line="240" w:lineRule="auto"/>
        <w:ind w:left="93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then the Buyer may award a Call-Off Contract in accordance with the procedure set out in Paragraph 2 below.</w:t>
      </w:r>
    </w:p>
    <w:p w:rsidR="00000000" w:rsidDel="00000000" w:rsidP="00000000" w:rsidRDefault="00000000" w:rsidRPr="00000000" w14:paraId="00000009">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all of the terms of the proposed Call-Off Contract are not laid down in this Contract and the potential Buyer:</w:t>
      </w:r>
      <w:r w:rsidDel="00000000" w:rsidR="00000000" w:rsidRPr="00000000">
        <w:rPr>
          <w:rtl w:val="0"/>
        </w:rPr>
      </w:r>
    </w:p>
    <w:p w:rsidR="00000000" w:rsidDel="00000000" w:rsidP="00000000" w:rsidRDefault="00000000" w:rsidRPr="00000000" w14:paraId="0000000A">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requires the Supplier to develop proposals or a solution in respect of such Deliverables; and/or</w:t>
      </w:r>
      <w:r w:rsidDel="00000000" w:rsidR="00000000" w:rsidRPr="00000000">
        <w:rPr>
          <w:rtl w:val="0"/>
        </w:rPr>
      </w:r>
    </w:p>
    <w:p w:rsidR="00000000" w:rsidDel="00000000" w:rsidP="00000000" w:rsidRDefault="00000000" w:rsidRPr="00000000" w14:paraId="0000000B">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needs to amend or refine the terms of the Framework Contract to reflect its Deliverables to the extent permitted by and in accordance with the Regulations;</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4536"/>
        </w:tabs>
        <w:spacing w:after="220" w:before="0" w:line="240" w:lineRule="auto"/>
        <w:ind w:left="90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then the Buyer may award a Call-Off Contract in accordance with the Further Competition Procedure set out in Paragraph 3 below.</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4536"/>
        </w:tabs>
        <w:spacing w:after="220" w:before="0" w:line="240" w:lineRule="auto"/>
        <w:ind w:left="90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1.4 All Call-Off Contracts must not exceed a maximum five year initial term with two optional one year extensions. There is no minimum contract length. </w:t>
      </w:r>
    </w:p>
    <w:p w:rsidR="00000000" w:rsidDel="00000000" w:rsidP="00000000" w:rsidRDefault="00000000" w:rsidRPr="00000000" w14:paraId="0000000E">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a direct award works</w:t>
      </w:r>
    </w:p>
    <w:p w:rsidR="00000000" w:rsidDel="00000000" w:rsidP="00000000" w:rsidRDefault="00000000" w:rsidRPr="00000000" w14:paraId="0000000F">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i w:val="0"/>
          <w:smallCaps w:val="0"/>
          <w:strike w:val="0"/>
          <w:color w:val="000000"/>
          <w:shd w:fill="auto" w:val="clear"/>
          <w:vertAlign w:val="baseline"/>
        </w:rPr>
      </w:pPr>
      <w:r w:rsidDel="00000000" w:rsidR="00000000" w:rsidRPr="00000000">
        <w:rPr>
          <w:rFonts w:ascii="Arial" w:cs="Arial" w:eastAsia="Arial" w:hAnsi="Arial"/>
          <w:sz w:val="24"/>
          <w:szCs w:val="24"/>
          <w:rtl w:val="0"/>
        </w:rPr>
        <w:t xml:space="preserve">Direct award is not applicable for this Framework.</w:t>
      </w: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pos="3641"/>
        </w:tabs>
        <w:spacing w:after="120" w:before="120" w:line="240" w:lineRule="auto"/>
        <w:ind w:left="198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1">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a further competition works</w:t>
      </w:r>
    </w:p>
    <w:p w:rsidR="00000000" w:rsidDel="00000000" w:rsidP="00000000" w:rsidRDefault="00000000" w:rsidRPr="00000000" w14:paraId="00000012">
      <w:pPr>
        <w:keepNext w:val="1"/>
        <w:keepLines w:val="0"/>
        <w:widowControl w:val="1"/>
        <w:pBdr>
          <w:top w:space="0" w:sz="0" w:val="nil"/>
          <w:left w:space="0" w:sz="0" w:val="nil"/>
          <w:bottom w:space="0" w:sz="0" w:val="nil"/>
          <w:right w:space="0" w:sz="0" w:val="nil"/>
          <w:between w:space="0" w:sz="0" w:val="nil"/>
        </w:pBdr>
        <w:shd w:fill="auto" w:val="clear"/>
        <w:tabs>
          <w:tab w:val="left" w:pos="3054"/>
        </w:tabs>
        <w:spacing w:after="120" w:before="120" w:line="240" w:lineRule="auto"/>
        <w:ind w:left="1134" w:right="0" w:hanging="77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the Buyer has to do</w:t>
      </w:r>
    </w:p>
    <w:p w:rsidR="00000000" w:rsidDel="00000000" w:rsidP="00000000" w:rsidRDefault="00000000" w:rsidRPr="00000000" w14:paraId="00000013">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280" w:before="120" w:line="259" w:lineRule="auto"/>
        <w:ind w:left="1080" w:right="0" w:hanging="36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applicable, the Buyer may use the following procedure to shortlist Suppliers before entering into a Further Competition Procedure: </w:t>
      </w:r>
      <w:r w:rsidDel="00000000" w:rsidR="00000000" w:rsidRPr="00000000">
        <w:rPr>
          <w:rtl w:val="0"/>
        </w:rPr>
      </w:r>
    </w:p>
    <w:p w:rsidR="00000000" w:rsidDel="00000000" w:rsidP="00000000" w:rsidRDefault="00000000" w:rsidRPr="00000000" w14:paraId="00000014">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280" w:before="120" w:line="259" w:lineRule="auto"/>
        <w:ind w:left="261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 Filters – The Buyer will produce a Supplier shortlist based on the Service Filters. </w:t>
      </w:r>
      <w:r w:rsidDel="00000000" w:rsidR="00000000" w:rsidRPr="00000000">
        <w:rPr>
          <w:rtl w:val="0"/>
        </w:rPr>
      </w:r>
    </w:p>
    <w:p w:rsidR="00000000" w:rsidDel="00000000" w:rsidP="00000000" w:rsidRDefault="00000000" w:rsidRPr="00000000" w14:paraId="00000015">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280" w:before="120" w:line="259" w:lineRule="auto"/>
        <w:ind w:left="261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Expression Of Interest (EOI) – The Buyer may use an EOI process to produce a Supplier shortlist. The EOI may contain the following details but is not limited to: scope, scale, timescales, incumbent supplier, grades, payment terms, capacity and/or budget. </w:t>
      </w:r>
      <w:r w:rsidDel="00000000" w:rsidR="00000000" w:rsidRPr="00000000">
        <w:rPr>
          <w:rtl w:val="0"/>
        </w:rPr>
      </w:r>
    </w:p>
    <w:p w:rsidR="00000000" w:rsidDel="00000000" w:rsidP="00000000" w:rsidRDefault="00000000" w:rsidRPr="00000000" w14:paraId="00000016">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280" w:before="120" w:line="259" w:lineRule="auto"/>
        <w:ind w:left="261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 Filters and Expression of Interest – The Buyer may use both of the procedures detailed in paragraph 3.1.2 and 3.1.3. </w:t>
      </w:r>
      <w:r w:rsidDel="00000000" w:rsidR="00000000" w:rsidRPr="00000000">
        <w:rPr>
          <w:rtl w:val="0"/>
        </w:rPr>
      </w:r>
    </w:p>
    <w:p w:rsidR="00000000" w:rsidDel="00000000" w:rsidP="00000000" w:rsidRDefault="00000000" w:rsidRPr="00000000" w14:paraId="00000017">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280" w:before="120" w:line="259" w:lineRule="auto"/>
        <w:ind w:left="261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Conference call – The Buyer may use this after the EOI. The Buyer will provide further information on its requirement and Suppliers may have the opportunity to raise queries. </w:t>
      </w:r>
      <w:r w:rsidDel="00000000" w:rsidR="00000000" w:rsidRPr="00000000">
        <w:rPr>
          <w:rtl w:val="0"/>
        </w:rPr>
      </w:r>
    </w:p>
    <w:p w:rsidR="00000000" w:rsidDel="00000000" w:rsidP="00000000" w:rsidRDefault="00000000" w:rsidRPr="00000000" w14:paraId="00000018">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280" w:before="120" w:line="259" w:lineRule="auto"/>
        <w:ind w:left="261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Suppliers can deselect themselves through the process after the Service Filters and/or EOI and/or conference call. </w:t>
      </w:r>
      <w:r w:rsidDel="00000000" w:rsidR="00000000" w:rsidRPr="00000000">
        <w:rPr>
          <w:rtl w:val="0"/>
        </w:rPr>
      </w:r>
    </w:p>
    <w:p w:rsidR="00000000" w:rsidDel="00000000" w:rsidP="00000000" w:rsidRDefault="00000000" w:rsidRPr="00000000" w14:paraId="00000019">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280" w:before="120" w:line="259" w:lineRule="auto"/>
        <w:ind w:left="1080" w:right="0" w:hanging="36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does not respond to the EOI in accordance with any stated timescales they will not be invited to participate in the Further Competition Procedure. </w:t>
      </w:r>
      <w:r w:rsidDel="00000000" w:rsidR="00000000" w:rsidRPr="00000000">
        <w:rPr>
          <w:rtl w:val="0"/>
        </w:rPr>
      </w:r>
    </w:p>
    <w:p w:rsidR="00000000" w:rsidDel="00000000" w:rsidP="00000000" w:rsidRDefault="00000000" w:rsidRPr="00000000" w14:paraId="0000001A">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280" w:before="120" w:line="259" w:lineRule="auto"/>
        <w:ind w:left="1080" w:right="0" w:hanging="36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is invited to the conference call and they do not attend they may not be invited to participate in the Further Competition Procedure. </w:t>
      </w:r>
      <w:r w:rsidDel="00000000" w:rsidR="00000000" w:rsidRPr="00000000">
        <w:rPr>
          <w:rtl w:val="0"/>
        </w:rPr>
      </w:r>
    </w:p>
    <w:p w:rsidR="00000000" w:rsidDel="00000000" w:rsidP="00000000" w:rsidRDefault="00000000" w:rsidRPr="00000000" w14:paraId="0000001B">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280" w:before="120" w:line="259" w:lineRule="auto"/>
        <w:ind w:left="1080" w:right="0" w:hanging="36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reserves the right to add or change the Services Filters and the EOI template throughout the lifetime of the Framework Agreement. </w:t>
      </w:r>
      <w:r w:rsidDel="00000000" w:rsidR="00000000" w:rsidRPr="00000000">
        <w:rPr>
          <w:rtl w:val="0"/>
        </w:rPr>
      </w:r>
    </w:p>
    <w:p w:rsidR="00000000" w:rsidDel="00000000" w:rsidP="00000000" w:rsidRDefault="00000000" w:rsidRPr="00000000" w14:paraId="0000001C">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280" w:before="120" w:line="259" w:lineRule="auto"/>
        <w:ind w:left="1080" w:right="0" w:hanging="36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update their Service Filters during the lifetime of the Framework Agreement subject to you providing a customer reference. </w:t>
      </w:r>
      <w:r w:rsidDel="00000000" w:rsidR="00000000" w:rsidRPr="00000000">
        <w:rPr>
          <w:rtl w:val="0"/>
        </w:rPr>
      </w:r>
    </w:p>
    <w:p w:rsidR="00000000" w:rsidDel="00000000" w:rsidP="00000000" w:rsidRDefault="00000000" w:rsidRPr="00000000" w14:paraId="0000001D">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awarding a Call-Off Contract under this Contract through a Further Competition Procedure shall:</w:t>
      </w:r>
      <w:r w:rsidDel="00000000" w:rsidR="00000000" w:rsidRPr="00000000">
        <w:rPr>
          <w:rtl w:val="0"/>
        </w:rPr>
      </w:r>
    </w:p>
    <w:p w:rsidR="00000000" w:rsidDel="00000000" w:rsidP="00000000" w:rsidRDefault="00000000" w:rsidRPr="00000000" w14:paraId="0000001E">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i w:val="0"/>
          <w:smallCaps w:val="0"/>
          <w:strike w:val="0"/>
          <w:color w:val="000000"/>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develop a Statement of Requirements setting out its requirements for the Deliverables and identify the Suppliers capable of supplying the them;</w:t>
      </w:r>
      <w:r w:rsidDel="00000000" w:rsidR="00000000" w:rsidRPr="00000000">
        <w:rPr>
          <w:rtl w:val="0"/>
        </w:rPr>
      </w:r>
    </w:p>
    <w:p w:rsidR="00000000" w:rsidDel="00000000" w:rsidP="00000000" w:rsidRDefault="00000000" w:rsidRPr="00000000" w14:paraId="0000001F">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i w:val="0"/>
          <w:smallCaps w:val="0"/>
          <w:strike w:val="0"/>
          <w:color w:val="000000"/>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amend or refine the Deliverables to reflect its requirements by using the Order Form only to the extent permitted by and in accordance with the requirements of the Regulations;</w:t>
      </w:r>
      <w:r w:rsidDel="00000000" w:rsidR="00000000" w:rsidRPr="00000000">
        <w:rPr>
          <w:rtl w:val="0"/>
        </w:rPr>
      </w:r>
    </w:p>
    <w:p w:rsidR="00000000" w:rsidDel="00000000" w:rsidP="00000000" w:rsidRDefault="00000000" w:rsidRPr="00000000" w14:paraId="00000020">
      <w:pPr>
        <w:keepNext w:val="1"/>
        <w:keepLines w:val="0"/>
        <w:widowControl w:val="1"/>
        <w:numPr>
          <w:ilvl w:val="2"/>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i w:val="0"/>
          <w:smallCaps w:val="0"/>
          <w:strike w:val="0"/>
          <w:color w:val="000000"/>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invite tenders by conducting a Further Competition Procedure for its Deliverables in accordance with the Regulations and in particular:</w:t>
      </w:r>
      <w:r w:rsidDel="00000000" w:rsidR="00000000" w:rsidRPr="00000000">
        <w:rPr>
          <w:rtl w:val="0"/>
        </w:rPr>
      </w:r>
    </w:p>
    <w:p w:rsidR="00000000" w:rsidDel="00000000" w:rsidP="00000000" w:rsidRDefault="00000000" w:rsidRPr="00000000" w14:paraId="00000021">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Electronic Reverse Auction (as defined in Paragraph 7 below) is to be held, the Buyer shall notify the Suppliers identified in accordance with Paragraph 3.1.1 and shall conduct the Further Competition Procedure in accordance with the procedures set out in Paragraph 3; or</w:t>
      </w:r>
    </w:p>
    <w:p w:rsidR="00000000" w:rsidDel="00000000" w:rsidP="00000000" w:rsidRDefault="00000000" w:rsidRPr="00000000" w14:paraId="00000022">
      <w:pPr>
        <w:keepNext w:val="1"/>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Electronic Reverse Auction is not used, the Buyer shall:</w:t>
      </w:r>
    </w:p>
    <w:p w:rsidR="00000000" w:rsidDel="00000000" w:rsidP="00000000" w:rsidRDefault="00000000" w:rsidRPr="00000000" w14:paraId="00000023">
      <w:pPr>
        <w:keepNext w:val="0"/>
        <w:keepLines w:val="0"/>
        <w:widowControl w:val="1"/>
        <w:numPr>
          <w:ilvl w:val="4"/>
          <w:numId w:val="3"/>
        </w:numPr>
        <w:pBdr>
          <w:top w:space="0" w:sz="0" w:val="nil"/>
          <w:left w:space="0" w:sz="0" w:val="nil"/>
          <w:bottom w:space="0" w:sz="0" w:val="nil"/>
          <w:right w:space="0" w:sz="0" w:val="nil"/>
          <w:between w:space="0" w:sz="0" w:val="nil"/>
        </w:pBdr>
        <w:shd w:fill="auto" w:val="clear"/>
        <w:tabs>
          <w:tab w:val="left" w:pos="6238"/>
        </w:tabs>
        <w:spacing w:after="120" w:before="120" w:line="240" w:lineRule="auto"/>
        <w:ind w:left="3119"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invite the Suppliers identified in accordance with Paragraph 3.1.1 to submit a tender in writing for each proposed Call-Off Contract to be awarded by giving written notice by email to the relevant Supplier Representative of each Supplier;</w:t>
      </w:r>
    </w:p>
    <w:p w:rsidR="00000000" w:rsidDel="00000000" w:rsidP="00000000" w:rsidRDefault="00000000" w:rsidRPr="00000000" w14:paraId="00000024">
      <w:pPr>
        <w:keepNext w:val="0"/>
        <w:keepLines w:val="0"/>
        <w:widowControl w:val="1"/>
        <w:numPr>
          <w:ilvl w:val="4"/>
          <w:numId w:val="3"/>
        </w:numPr>
        <w:pBdr>
          <w:top w:space="0" w:sz="0" w:val="nil"/>
          <w:left w:space="0" w:sz="0" w:val="nil"/>
          <w:bottom w:space="0" w:sz="0" w:val="nil"/>
          <w:right w:space="0" w:sz="0" w:val="nil"/>
          <w:between w:space="0" w:sz="0" w:val="nil"/>
        </w:pBdr>
        <w:shd w:fill="auto" w:val="clear"/>
        <w:tabs>
          <w:tab w:val="left" w:pos="6238"/>
        </w:tabs>
        <w:spacing w:after="120" w:before="120" w:line="240" w:lineRule="auto"/>
        <w:ind w:left="3119"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a time limit for the receipt by it of the tenders which takes into account factors such as the complexity of the subject matter of the proposed Call-Off Contract and the time needed to submit tenders; and</w:t>
      </w:r>
    </w:p>
    <w:p w:rsidR="00000000" w:rsidDel="00000000" w:rsidP="00000000" w:rsidRDefault="00000000" w:rsidRPr="00000000" w14:paraId="00000025">
      <w:pPr>
        <w:keepNext w:val="0"/>
        <w:keepLines w:val="0"/>
        <w:widowControl w:val="1"/>
        <w:numPr>
          <w:ilvl w:val="4"/>
          <w:numId w:val="3"/>
        </w:numPr>
        <w:pBdr>
          <w:top w:space="0" w:sz="0" w:val="nil"/>
          <w:left w:space="0" w:sz="0" w:val="nil"/>
          <w:bottom w:space="0" w:sz="0" w:val="nil"/>
          <w:right w:space="0" w:sz="0" w:val="nil"/>
          <w:between w:space="0" w:sz="0" w:val="nil"/>
        </w:pBdr>
        <w:shd w:fill="auto" w:val="clear"/>
        <w:tabs>
          <w:tab w:val="left" w:pos="6238"/>
        </w:tabs>
        <w:spacing w:after="120" w:before="120" w:line="240" w:lineRule="auto"/>
        <w:ind w:left="3119"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keep each tender confidential until the time limit set out for the return of tenders has expired.</w:t>
      </w:r>
    </w:p>
    <w:p w:rsidR="00000000" w:rsidDel="00000000" w:rsidP="00000000" w:rsidRDefault="00000000" w:rsidRPr="00000000" w14:paraId="00000026">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apply the further competition award criteria to the Suppliers' compliant tenders submitted through the Further Competition Procedure as the basis of its decision to award a Call-Off Contract for its Deliverables;</w:t>
      </w:r>
      <w:r w:rsidDel="00000000" w:rsidR="00000000" w:rsidRPr="00000000">
        <w:rPr>
          <w:rtl w:val="0"/>
        </w:rPr>
      </w:r>
    </w:p>
    <w:p w:rsidR="00000000" w:rsidDel="00000000" w:rsidP="00000000" w:rsidRDefault="00000000" w:rsidRPr="00000000" w14:paraId="00000027">
      <w:pPr>
        <w:keepNext w:val="1"/>
        <w:keepLines w:val="0"/>
        <w:widowControl w:val="1"/>
        <w:numPr>
          <w:ilvl w:val="2"/>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the basis set out above, award its Call-Off Contract to the successful Supplier in accordance with Paragraph 6. The Call-Off Contract shall:</w:t>
      </w:r>
      <w:r w:rsidDel="00000000" w:rsidR="00000000" w:rsidRPr="00000000">
        <w:rPr>
          <w:rtl w:val="0"/>
        </w:rPr>
      </w:r>
    </w:p>
    <w:p w:rsidR="00000000" w:rsidDel="00000000" w:rsidP="00000000" w:rsidRDefault="00000000" w:rsidRPr="00000000" w14:paraId="00000028">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state the Deliverables;</w:t>
      </w:r>
    </w:p>
    <w:p w:rsidR="00000000" w:rsidDel="00000000" w:rsidP="00000000" w:rsidRDefault="00000000" w:rsidRPr="00000000" w14:paraId="00000029">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state the tender submitted by the successful Supplier;</w:t>
      </w:r>
    </w:p>
    <w:p w:rsidR="00000000" w:rsidDel="00000000" w:rsidP="00000000" w:rsidRDefault="00000000" w:rsidRPr="00000000" w14:paraId="0000002A">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state the Charges payable for the Deliverables in accordance with the tender submitted by the successful Supplier; and</w:t>
      </w:r>
    </w:p>
    <w:p w:rsidR="00000000" w:rsidDel="00000000" w:rsidP="00000000" w:rsidRDefault="00000000" w:rsidRPr="00000000" w14:paraId="0000002B">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incorporate the terms [of the Order Form and Contract] (as may be amended or refined by the Buyer in accordance with Paragraph 3.1.2. above) applicable to the Deliverables,</w:t>
      </w:r>
    </w:p>
    <w:p w:rsidR="00000000" w:rsidDel="00000000" w:rsidP="00000000" w:rsidRDefault="00000000" w:rsidRPr="00000000" w14:paraId="0000002C">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unsuccessful Suppliers with written feedback in relation to the reasons why their tenders were unsuccessful.</w:t>
      </w:r>
      <w:r w:rsidDel="00000000" w:rsidR="00000000" w:rsidRPr="00000000">
        <w:rPr>
          <w:rtl w:val="0"/>
        </w:rPr>
      </w:r>
    </w:p>
    <w:p w:rsidR="00000000" w:rsidDel="00000000" w:rsidP="00000000" w:rsidRDefault="00000000" w:rsidRPr="00000000" w14:paraId="0000002D">
      <w:pPr>
        <w:keepNext w:val="1"/>
        <w:keepLines w:val="0"/>
        <w:widowControl w:val="1"/>
        <w:pBdr>
          <w:top w:space="0" w:sz="0" w:val="nil"/>
          <w:left w:space="0" w:sz="0" w:val="nil"/>
          <w:bottom w:space="0" w:sz="0" w:val="nil"/>
          <w:right w:space="0" w:sz="0" w:val="nil"/>
          <w:between w:space="0" w:sz="0" w:val="nil"/>
        </w:pBdr>
        <w:shd w:fill="auto" w:val="clear"/>
        <w:tabs>
          <w:tab w:val="left" w:pos="305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the Supplier has to do</w:t>
      </w:r>
    </w:p>
    <w:p w:rsidR="00000000" w:rsidDel="00000000" w:rsidP="00000000" w:rsidRDefault="00000000" w:rsidRPr="00000000" w14:paraId="0000002E">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b w:val="1"/>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 writing, by the time and date specified by the Buyer following an invitation to tender pursuant to Paragraph 3.1.3 above, provide CCS and the Buyer with either:</w:t>
      </w:r>
      <w:r w:rsidDel="00000000" w:rsidR="00000000" w:rsidRPr="00000000">
        <w:rPr>
          <w:rtl w:val="0"/>
        </w:rPr>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left" w:pos="3641"/>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statement to the effect that it does not wish to tender in relation to the Deliverables; or</w:t>
      </w:r>
      <w:r w:rsidDel="00000000" w:rsidR="00000000" w:rsidRPr="00000000">
        <w:rPr>
          <w:rtl w:val="0"/>
        </w:rPr>
      </w:r>
    </w:p>
    <w:p w:rsidR="00000000" w:rsidDel="00000000" w:rsidP="00000000" w:rsidRDefault="00000000" w:rsidRPr="00000000" w14:paraId="00000031">
      <w:pPr>
        <w:keepNext w:val="1"/>
        <w:keepLines w:val="0"/>
        <w:widowControl w:val="1"/>
        <w:numPr>
          <w:ilvl w:val="2"/>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full details of its tender made in respect of the relevant Statement of Requirements. In the event that the Supplier submits such a tender, it should include, as a minimum:</w:t>
      </w:r>
      <w:r w:rsidDel="00000000" w:rsidR="00000000" w:rsidRPr="00000000">
        <w:rPr>
          <w:rtl w:val="0"/>
        </w:rPr>
      </w:r>
    </w:p>
    <w:p w:rsidR="00000000" w:rsidDel="00000000" w:rsidP="00000000" w:rsidRDefault="00000000" w:rsidRPr="00000000" w14:paraId="00000032">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email response subject line to comprise unique reference number and Supplier name, so as to clearly identify the Supplier;</w:t>
      </w:r>
    </w:p>
    <w:p w:rsidR="00000000" w:rsidDel="00000000" w:rsidP="00000000" w:rsidRDefault="00000000" w:rsidRPr="00000000" w14:paraId="00000033">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brief summary, in the email (followed by a confirmation letter), stating that the Supplier is bidding for the Statement of Requirements;</w:t>
      </w:r>
    </w:p>
    <w:p w:rsidR="00000000" w:rsidDel="00000000" w:rsidP="00000000" w:rsidRDefault="00000000" w:rsidRPr="00000000" w14:paraId="00000034">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proposal covering the Deliverables;</w:t>
      </w:r>
    </w:p>
    <w:p w:rsidR="00000000" w:rsidDel="00000000" w:rsidP="00000000" w:rsidRDefault="00000000" w:rsidRPr="00000000" w14:paraId="00000035">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CVs of key staff – as a minimum any lead consultant, with others, as considered appropriate along with required staff levels (if necessary); and</w:t>
      </w:r>
    </w:p>
    <w:p w:rsidR="00000000" w:rsidDel="00000000" w:rsidP="00000000" w:rsidRDefault="00000000" w:rsidRPr="00000000" w14:paraId="00000036">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confirmation of discounts applicable to the Deliverables, as referenced in Framework Schedule 3 (Framework Prices) (if applicable).</w:t>
      </w:r>
    </w:p>
    <w:p w:rsidR="00000000" w:rsidDel="00000000" w:rsidP="00000000" w:rsidRDefault="00000000" w:rsidRPr="00000000" w14:paraId="00000037">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any prices submitted in relation to a Further Competition Procedure held pursuant to this Paragraph 3 shall be based on the charging structure and take into account any discount to which the Buyer may be entitled as set out in Framework Schedule 3 (Framework Prices).</w:t>
      </w:r>
      <w:r w:rsidDel="00000000" w:rsidR="00000000" w:rsidRPr="00000000">
        <w:rPr>
          <w:rtl w:val="0"/>
        </w:rPr>
      </w:r>
    </w:p>
    <w:p w:rsidR="00000000" w:rsidDel="00000000" w:rsidP="00000000" w:rsidRDefault="00000000" w:rsidRPr="00000000" w14:paraId="00000038">
      <w:pPr>
        <w:keepNext w:val="1"/>
        <w:keepLines w:val="0"/>
        <w:widowControl w:val="1"/>
        <w:numPr>
          <w:ilvl w:val="2"/>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w:t>
      </w:r>
      <w:r w:rsidDel="00000000" w:rsidR="00000000" w:rsidRPr="00000000">
        <w:rPr>
          <w:rtl w:val="0"/>
        </w:rPr>
      </w:r>
    </w:p>
    <w:p w:rsidR="00000000" w:rsidDel="00000000" w:rsidP="00000000" w:rsidRDefault="00000000" w:rsidRPr="00000000" w14:paraId="00000039">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tenders submitted by the Supplier in relation to a Further Competition Procedure held pursuant to this Paragraph 3 shall remain open for acceptance by the Buyer for ninety (90) Working Days (or such other period specified in the invitation to tender issued by the Buyer in accordance with the Call-Off Procedure); and</w:t>
      </w:r>
    </w:p>
    <w:p w:rsidR="00000000" w:rsidDel="00000000" w:rsidP="00000000" w:rsidRDefault="00000000" w:rsidRPr="00000000" w14:paraId="0000003A">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rsidR="00000000" w:rsidDel="00000000" w:rsidP="00000000" w:rsidRDefault="00000000" w:rsidRPr="00000000" w14:paraId="0000003B">
      <w:pPr>
        <w:keepNext w:val="0"/>
        <w:keepLines w:val="0"/>
        <w:widowControl w:val="1"/>
        <w:numPr>
          <w:ilvl w:val="4"/>
          <w:numId w:val="3"/>
        </w:numPr>
        <w:pBdr>
          <w:top w:space="0" w:sz="0" w:val="nil"/>
          <w:left w:space="0" w:sz="0" w:val="nil"/>
          <w:bottom w:space="0" w:sz="0" w:val="nil"/>
          <w:right w:space="0" w:sz="0" w:val="nil"/>
          <w:between w:space="0" w:sz="0" w:val="nil"/>
        </w:pBdr>
        <w:shd w:fill="auto" w:val="clear"/>
        <w:tabs>
          <w:tab w:val="left" w:pos="6238"/>
        </w:tabs>
        <w:spacing w:after="120" w:before="120" w:line="240" w:lineRule="auto"/>
        <w:ind w:left="3119"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rsidR="00000000" w:rsidDel="00000000" w:rsidP="00000000" w:rsidRDefault="00000000" w:rsidRPr="00000000" w14:paraId="0000003C">
      <w:pPr>
        <w:keepNext w:val="0"/>
        <w:keepLines w:val="0"/>
        <w:widowControl w:val="1"/>
        <w:numPr>
          <w:ilvl w:val="4"/>
          <w:numId w:val="3"/>
        </w:numPr>
        <w:pBdr>
          <w:top w:space="0" w:sz="0" w:val="nil"/>
          <w:left w:space="0" w:sz="0" w:val="nil"/>
          <w:bottom w:space="0" w:sz="0" w:val="nil"/>
          <w:right w:space="0" w:sz="0" w:val="nil"/>
          <w:between w:space="0" w:sz="0" w:val="nil"/>
        </w:pBdr>
        <w:shd w:fill="auto" w:val="clear"/>
        <w:tabs>
          <w:tab w:val="left" w:pos="6238"/>
        </w:tabs>
        <w:spacing w:after="120" w:before="120" w:line="240" w:lineRule="auto"/>
        <w:ind w:left="3119"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 into any arrangement or agreement with any other person that he or the other person(s) shall refrain from submitting a tender or as to the amount of any tenders to be submitted.</w:t>
      </w:r>
    </w:p>
    <w:p w:rsidR="00000000" w:rsidDel="00000000" w:rsidP="00000000" w:rsidRDefault="00000000" w:rsidRPr="00000000" w14:paraId="0000003D">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No requirement to award</w:t>
      </w:r>
      <w:r w:rsidDel="00000000" w:rsidR="00000000" w:rsidRPr="00000000">
        <w:rPr>
          <w:rtl w:val="0"/>
        </w:rPr>
      </w:r>
    </w:p>
    <w:p w:rsidR="00000000" w:rsidDel="00000000" w:rsidP="00000000" w:rsidRDefault="00000000" w:rsidRPr="00000000" w14:paraId="0000003E">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the fact that the Buyer has followed a procedure as set out above in Paragraph 2 or 3 (as applicable), the Supplier acknowledges and agrees that the Buyer shall be entitled at all times to decline to make an award for its Deliverables and that nothing in this Contract shall oblige the Buyer to award any Call-Off Contract.</w:t>
      </w:r>
      <w:r w:rsidDel="00000000" w:rsidR="00000000" w:rsidRPr="00000000">
        <w:rPr>
          <w:rtl w:val="0"/>
        </w:rPr>
      </w:r>
    </w:p>
    <w:p w:rsidR="00000000" w:rsidDel="00000000" w:rsidP="00000000" w:rsidRDefault="00000000" w:rsidRPr="00000000" w14:paraId="0000003F">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Who is responsible for the award</w:t>
      </w:r>
    </w:p>
    <w:p w:rsidR="00000000" w:rsidDel="00000000" w:rsidP="00000000" w:rsidRDefault="00000000" w:rsidRPr="00000000" w14:paraId="00000040">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r w:rsidDel="00000000" w:rsidR="00000000" w:rsidRPr="00000000">
        <w:rPr>
          <w:rtl w:val="0"/>
        </w:rPr>
      </w:r>
    </w:p>
    <w:p w:rsidR="00000000" w:rsidDel="00000000" w:rsidP="00000000" w:rsidRDefault="00000000" w:rsidRPr="00000000" w14:paraId="00000041">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conduct of Buyer in relation to this Contract; or</w:t>
      </w:r>
      <w:r w:rsidDel="00000000" w:rsidR="00000000" w:rsidRPr="00000000">
        <w:rPr>
          <w:rtl w:val="0"/>
        </w:rPr>
      </w:r>
    </w:p>
    <w:p w:rsidR="00000000" w:rsidDel="00000000" w:rsidP="00000000" w:rsidRDefault="00000000" w:rsidRPr="00000000" w14:paraId="00000042">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performance or non-performance of any Call-Off Contracts between the Supplier and Buyer entered into pursuant to this Contract.</w:t>
      </w:r>
      <w:r w:rsidDel="00000000" w:rsidR="00000000" w:rsidRPr="00000000">
        <w:rPr>
          <w:rtl w:val="0"/>
        </w:rPr>
      </w:r>
    </w:p>
    <w:p w:rsidR="00000000" w:rsidDel="00000000" w:rsidP="00000000" w:rsidRDefault="00000000" w:rsidRPr="00000000" w14:paraId="00000043">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Awarding and creating a Call-Off Contract</w:t>
      </w:r>
      <w:r w:rsidDel="00000000" w:rsidR="00000000" w:rsidRPr="00000000">
        <w:rPr>
          <w:rtl w:val="0"/>
        </w:rPr>
      </w:r>
    </w:p>
    <w:p w:rsidR="00000000" w:rsidDel="00000000" w:rsidP="00000000" w:rsidRDefault="00000000" w:rsidRPr="00000000" w14:paraId="00000044">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i w:val="0"/>
          <w:smallCaps w:val="0"/>
          <w:strike w:val="0"/>
          <w:color w:val="000000"/>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1 to 5 above and 7, a Buyer may award a Call-Off Contract with the Supplier by sending (including electronically) a signed order form substantially in the form (as may be amended or refined by the Buyer in accordance with Paragraph 3.1.2 above) of the Order Form Template set out in Framework Schedule 6 (Order Form Template and Call-Off Schedules).</w:t>
      </w:r>
      <w:r w:rsidDel="00000000" w:rsidR="00000000" w:rsidRPr="00000000">
        <w:rPr>
          <w:rtl w:val="0"/>
        </w:rPr>
      </w:r>
    </w:p>
    <w:p w:rsidR="00000000" w:rsidDel="00000000" w:rsidP="00000000" w:rsidRDefault="00000000" w:rsidRPr="00000000" w14:paraId="00000045">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any document or communication (including any document or communication in the apparent form of a Call-Off Contract) which is not as described in this Paragraph 6 shall not constitute a Call-Off Contract under this Contract.</w:t>
      </w:r>
      <w:r w:rsidDel="00000000" w:rsidR="00000000" w:rsidRPr="00000000">
        <w:rPr>
          <w:rtl w:val="0"/>
        </w:rPr>
      </w:r>
    </w:p>
    <w:p w:rsidR="00000000" w:rsidDel="00000000" w:rsidP="00000000" w:rsidRDefault="00000000" w:rsidRPr="00000000" w14:paraId="00000046">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i w:val="0"/>
          <w:smallCaps w:val="0"/>
          <w:strike w:val="0"/>
          <w:color w:val="000000"/>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receipt of an order form as described in Paragraph 6.1 from a Buyer the Supplier shall accept the Call-Off Contract by promptly signing and returning (including by electronic means) a copy of the order form to the Buyer concerned.</w:t>
      </w:r>
      <w:r w:rsidDel="00000000" w:rsidR="00000000" w:rsidRPr="00000000">
        <w:rPr>
          <w:rtl w:val="0"/>
        </w:rPr>
      </w:r>
    </w:p>
    <w:p w:rsidR="00000000" w:rsidDel="00000000" w:rsidP="00000000" w:rsidRDefault="00000000" w:rsidRPr="00000000" w14:paraId="00000047">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r w:rsidDel="00000000" w:rsidR="00000000" w:rsidRPr="00000000">
        <w:rPr>
          <w:rtl w:val="0"/>
        </w:rPr>
      </w:r>
    </w:p>
    <w:p w:rsidR="00000000" w:rsidDel="00000000" w:rsidP="00000000" w:rsidRDefault="00000000" w:rsidRPr="00000000" w14:paraId="00000048">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e-auctions work</w:t>
      </w:r>
      <w:r w:rsidDel="00000000" w:rsidR="00000000" w:rsidRPr="00000000">
        <w:rPr>
          <w:rtl w:val="0"/>
        </w:rPr>
      </w:r>
    </w:p>
    <w:p w:rsidR="00000000" w:rsidDel="00000000" w:rsidP="00000000" w:rsidRDefault="00000000" w:rsidRPr="00000000" w14:paraId="00000049">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to include a reverse auction in the Further Competition Procedure in accordance with the rules laid down by the Buyer and the Regulations.</w:t>
      </w:r>
      <w:r w:rsidDel="00000000" w:rsidR="00000000" w:rsidRPr="00000000">
        <w:rPr>
          <w:rtl w:val="0"/>
        </w:rPr>
      </w:r>
    </w:p>
    <w:p w:rsidR="00000000" w:rsidDel="00000000" w:rsidP="00000000" w:rsidRDefault="00000000" w:rsidRPr="00000000" w14:paraId="0000004A">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i w:val="0"/>
          <w:smallCaps w:val="0"/>
          <w:strike w:val="0"/>
          <w:color w:val="000000"/>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wishes to undertake an electronic reverse auction, where Suppliers compete in real time by bidding as the auction unfolds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"Electronic Reverse Auction"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then before undertaking it, the Buyer will make an initial full evaluation of all tenders received in response to its Statement of Requirements. The Buyer will then invite to the Electronic Reverse Auction only those tenders that are admissible in accordance with the Regulations. The invitation shall be accompanied by the outcome of the full initial evaluation of the relevant tenders.</w:t>
      </w:r>
      <w:r w:rsidDel="00000000" w:rsidR="00000000" w:rsidRPr="00000000">
        <w:rPr>
          <w:rtl w:val="0"/>
        </w:rPr>
      </w:r>
    </w:p>
    <w:p w:rsidR="00000000" w:rsidDel="00000000" w:rsidP="00000000" w:rsidRDefault="00000000" w:rsidRPr="00000000" w14:paraId="0000004B">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inform the Suppliers of the specification for the Electronic Reverse Auction which shall include:</w:t>
      </w:r>
      <w:r w:rsidDel="00000000" w:rsidR="00000000" w:rsidRPr="00000000">
        <w:rPr>
          <w:rtl w:val="0"/>
        </w:rPr>
      </w:r>
    </w:p>
    <w:p w:rsidR="00000000" w:rsidDel="00000000" w:rsidP="00000000" w:rsidRDefault="00000000" w:rsidRPr="00000000" w14:paraId="0000004C">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information to be provided at auction, which must be expressed in figures or percentages of the specified quantifiable features;</w:t>
      </w:r>
    </w:p>
    <w:p w:rsidR="00000000" w:rsidDel="00000000" w:rsidP="00000000" w:rsidRDefault="00000000" w:rsidRPr="00000000" w14:paraId="0000004D">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mathematical formula to be used to determine automatic ranking of bids on the basis of new prices and/or new values submitted;  </w:t>
      </w:r>
    </w:p>
    <w:p w:rsidR="00000000" w:rsidDel="00000000" w:rsidP="00000000" w:rsidRDefault="00000000" w:rsidRPr="00000000" w14:paraId="0000004E">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limits on the values which may be submitted;</w:t>
      </w:r>
    </w:p>
    <w:p w:rsidR="00000000" w:rsidDel="00000000" w:rsidP="00000000" w:rsidRDefault="00000000" w:rsidRPr="00000000" w14:paraId="0000004F">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any information which will be made available to Suppliers in the course of the Electronic Reverse Auction, and when it will be made available to them;</w:t>
      </w:r>
    </w:p>
    <w:p w:rsidR="00000000" w:rsidDel="00000000" w:rsidP="00000000" w:rsidRDefault="00000000" w:rsidRPr="00000000" w14:paraId="00000050">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conditions under which Suppliers will be able to bid and, in particular, the minimum differences which will, where appropriate, be required when bidding;</w:t>
      </w:r>
    </w:p>
    <w:p w:rsidR="00000000" w:rsidDel="00000000" w:rsidP="00000000" w:rsidRDefault="00000000" w:rsidRPr="00000000" w14:paraId="00000051">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relevant information concerning the electronic equipment used and the arrangements and technical specification for connection;</w:t>
      </w:r>
    </w:p>
    <w:p w:rsidR="00000000" w:rsidDel="00000000" w:rsidP="00000000" w:rsidRDefault="00000000" w:rsidRPr="00000000" w14:paraId="00000052">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7.</w:t>
      </w:r>
      <w:r w:rsidDel="00000000" w:rsidR="00000000" w:rsidRPr="00000000">
        <w:rPr>
          <w:rFonts w:ascii="Arial" w:cs="Arial" w:eastAsia="Arial" w:hAnsi="Arial"/>
          <w:sz w:val="24"/>
          <w:szCs w:val="24"/>
          <w:rtl w:val="0"/>
        </w:rPr>
        <w:t xml:space="preserve">4</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date and time of the start of the Electronic Reverse Auction; and</w:t>
      </w:r>
    </w:p>
    <w:p w:rsidR="00000000" w:rsidDel="00000000" w:rsidP="00000000" w:rsidRDefault="00000000" w:rsidRPr="00000000" w14:paraId="00000053">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when and how the Electronic Reverse Auction will close.</w:t>
      </w:r>
    </w:p>
    <w:p w:rsidR="00000000" w:rsidDel="00000000" w:rsidP="00000000" w:rsidRDefault="00000000" w:rsidRPr="00000000" w14:paraId="00000054">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i w:val="0"/>
          <w:smallCaps w:val="0"/>
          <w:strike w:val="0"/>
          <w:color w:val="000000"/>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Electronic Reverse Auction may not start sooner than two (2) Working Days after the date on which the specification for the Electronic Reverse Auction has been issued.</w:t>
      </w:r>
      <w:r w:rsidDel="00000000" w:rsidR="00000000" w:rsidRPr="00000000">
        <w:rPr>
          <w:rtl w:val="0"/>
        </w:rPr>
      </w:r>
    </w:p>
    <w:p w:rsidR="00000000" w:rsidDel="00000000" w:rsidP="00000000" w:rsidRDefault="00000000" w:rsidRPr="00000000" w14:paraId="00000055">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each phase of the Electronic Reverse Auction the Buyer will communicate to all Suppliers sufficient information to enable them to ascertain their relative ranking.</w:t>
      </w:r>
      <w:r w:rsidDel="00000000" w:rsidR="00000000" w:rsidRPr="00000000">
        <w:rPr>
          <w:rtl w:val="0"/>
        </w:rPr>
      </w:r>
    </w:p>
    <w:p w:rsidR="00000000" w:rsidDel="00000000" w:rsidP="00000000" w:rsidRDefault="00000000" w:rsidRPr="00000000" w14:paraId="00000056">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and agrees that:</w:t>
      </w:r>
      <w:r w:rsidDel="00000000" w:rsidR="00000000" w:rsidRPr="00000000">
        <w:rPr>
          <w:rtl w:val="0"/>
        </w:rPr>
      </w:r>
    </w:p>
    <w:p w:rsidR="00000000" w:rsidDel="00000000" w:rsidP="00000000" w:rsidRDefault="00000000" w:rsidRPr="00000000" w14:paraId="00000057">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its officers, servants, agents, group companies, assignees and customers (including CCS) do not guarantee that its access to the Electronic Reverse Auction will be uninterrupted or error-free;</w:t>
      </w:r>
    </w:p>
    <w:p w:rsidR="00000000" w:rsidDel="00000000" w:rsidP="00000000" w:rsidRDefault="00000000" w:rsidRPr="00000000" w14:paraId="00000058">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its access to the Electronic Reverse Auction may occasionally be restricted to allow for repairs or maintenance; and</w:t>
      </w:r>
    </w:p>
    <w:p w:rsidR="00000000" w:rsidDel="00000000" w:rsidP="00000000" w:rsidRDefault="00000000" w:rsidRPr="00000000" w14:paraId="00000059">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will comply with all such rules that may be imposed by the Buyer in relation to the operation of the Electronic Reverse Auction.</w:t>
      </w:r>
    </w:p>
    <w:p w:rsidR="00000000" w:rsidDel="00000000" w:rsidP="00000000" w:rsidRDefault="00000000" w:rsidRPr="00000000" w14:paraId="0000005A">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close the Electronic Reverse Auction on the basis of:</w:t>
      </w:r>
      <w:r w:rsidDel="00000000" w:rsidR="00000000" w:rsidRPr="00000000">
        <w:rPr>
          <w:rtl w:val="0"/>
        </w:rPr>
      </w:r>
    </w:p>
    <w:p w:rsidR="00000000" w:rsidDel="00000000" w:rsidP="00000000" w:rsidRDefault="00000000" w:rsidRPr="00000000" w14:paraId="0000005B">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date and time fixed in advance;</w:t>
      </w:r>
    </w:p>
    <w:p w:rsidR="00000000" w:rsidDel="00000000" w:rsidP="00000000" w:rsidRDefault="00000000" w:rsidRPr="00000000" w14:paraId="0000005C">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no new prices or values meeting the minimum differences required pursuant to Paragraph 7.3 have been received within the prescribed elapsed time period; or</w:t>
      </w:r>
    </w:p>
    <w:p w:rsidR="00000000" w:rsidDel="00000000" w:rsidP="00000000" w:rsidRDefault="00000000" w:rsidRPr="00000000" w14:paraId="0000005D">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all the phases have been completed.]</w:t>
      </w:r>
      <w:r w:rsidDel="00000000" w:rsidR="00000000" w:rsidRPr="00000000">
        <w:rPr>
          <w:rtl w:val="0"/>
        </w:rPr>
      </w:r>
    </w:p>
    <w:p w:rsidR="00000000" w:rsidDel="00000000" w:rsidP="00000000" w:rsidRDefault="00000000" w:rsidRPr="00000000" w14:paraId="0000005E">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Awarding and creating an Exempt Call-off Contract</w:t>
      </w:r>
    </w:p>
    <w:p w:rsidR="00000000" w:rsidDel="00000000" w:rsidP="00000000" w:rsidRDefault="00000000" w:rsidRPr="00000000" w14:paraId="0000005F">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Paragraph 1 above shall not apply to an Exempt Buyer.</w:t>
      </w:r>
      <w:r w:rsidDel="00000000" w:rsidR="00000000" w:rsidRPr="00000000">
        <w:rPr>
          <w:rtl w:val="0"/>
        </w:rPr>
      </w:r>
    </w:p>
    <w:p w:rsidR="00000000" w:rsidDel="00000000" w:rsidP="00000000" w:rsidRDefault="00000000" w:rsidRPr="00000000" w14:paraId="00000060">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If a potential Exempt Buyer decides to source Deliverables through this Framework Contract, it will award an Exempt Call-off Contract for Deliverables in accordance with the procedure in this Schedule as modified by this Paragraph 8 and in accordance with any legal requirements applicable to that potential Exempt Buyer.</w:t>
      </w:r>
      <w:r w:rsidDel="00000000" w:rsidR="00000000" w:rsidRPr="00000000">
        <w:rPr>
          <w:rtl w:val="0"/>
        </w:rPr>
      </w:r>
    </w:p>
    <w:p w:rsidR="00000000" w:rsidDel="00000000" w:rsidP="00000000" w:rsidRDefault="00000000" w:rsidRPr="00000000" w14:paraId="00000061">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potential Exempt Buyer may award an Exempt Call-off Contract under this Framework Contract without holding a further competition in accordance with Paragraph 2 above as modified by Paragraph 8.4 below or through a Further Competition Procedure in accordance with Paragraph 3 as modified by Paragraph 8.5 below.</w:t>
      </w:r>
      <w:r w:rsidDel="00000000" w:rsidR="00000000" w:rsidRPr="00000000">
        <w:rPr>
          <w:rtl w:val="0"/>
        </w:rPr>
      </w:r>
    </w:p>
    <w:p w:rsidR="00000000" w:rsidDel="00000000" w:rsidP="00000000" w:rsidRDefault="00000000" w:rsidRPr="00000000" w14:paraId="00000062">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the procedure set out in Paragraph 2 above, if the potential Exempt Buyer can determine that:</w:t>
      </w:r>
      <w:r w:rsidDel="00000000" w:rsidR="00000000" w:rsidRPr="00000000">
        <w:rPr>
          <w:rtl w:val="0"/>
        </w:rPr>
      </w:r>
    </w:p>
    <w:p w:rsidR="00000000" w:rsidDel="00000000" w:rsidP="00000000" w:rsidRDefault="00000000" w:rsidRPr="00000000" w14:paraId="00000063">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its Deliverables can be met by the Supplier’s catalogues and description of the Deliverables as set out in Framework Schedule 1 (Specification) and Framework Schedule 2 (Framework Tender); and</w:t>
      </w:r>
      <w:r w:rsidDel="00000000" w:rsidR="00000000" w:rsidRPr="00000000">
        <w:rPr>
          <w:rtl w:val="0"/>
        </w:rPr>
      </w:r>
    </w:p>
    <w:p w:rsidR="00000000" w:rsidDel="00000000" w:rsidP="00000000" w:rsidRDefault="00000000" w:rsidRPr="00000000" w14:paraId="00000064">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accept any required Exempt Procurement Amendments,</w:t>
      </w:r>
      <w:r w:rsidDel="00000000" w:rsidR="00000000" w:rsidRPr="00000000">
        <w:rPr>
          <w:rtl w:val="0"/>
        </w:rPr>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tabs>
          <w:tab w:val="left" w:pos="3641"/>
        </w:tabs>
        <w:spacing w:after="120" w:before="120" w:line="240" w:lineRule="auto"/>
        <w:ind w:left="189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then the Exempt Buyer may award an Exempt Call-off Contract to that Supplier in accordance with Paragraph 6 above.</w:t>
      </w:r>
    </w:p>
    <w:p w:rsidR="00000000" w:rsidDel="00000000" w:rsidP="00000000" w:rsidRDefault="00000000" w:rsidRPr="00000000" w14:paraId="00000066">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potential Exempt Buyer requires the Supplier to develop proposals or a solution in respect of Deliverables, then the potential Exempt Buyer may at its discretion use the procedure set out in Paragraph 3 above as modified by this Paragraph 8.5. In that case, references to “the Regulations” in Paragraph 3 above shall be read as references to “any legal requirements applicable to that potential Exempt Buyer”, and the Exempt Buyer shall be permitted to modify the Further Competition Procedure in accordance with any legal requirements applicable to the Exempt Buyer.</w:t>
      </w:r>
      <w:r w:rsidDel="00000000" w:rsidR="00000000" w:rsidRPr="00000000">
        <w:rPr>
          <w:rtl w:val="0"/>
        </w:rPr>
      </w:r>
    </w:p>
    <w:p w:rsidR="00000000" w:rsidDel="00000000" w:rsidP="00000000" w:rsidRDefault="00000000" w:rsidRPr="00000000" w14:paraId="00000067">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Paragraphs 8.1 to 8.5 above are without prejudice to an Exempt Buyer’s ability to make such further modifications to the Call-Off Procedure as it considers necessary and in accordance with any legal requirements applicable to that potential Exempt Buyer.</w:t>
      </w:r>
      <w:r w:rsidDel="00000000" w:rsidR="00000000" w:rsidRPr="00000000">
        <w:rPr>
          <w:rtl w:val="0"/>
        </w:rPr>
      </w:r>
    </w:p>
    <w:p w:rsidR="00000000" w:rsidDel="00000000" w:rsidP="00000000" w:rsidRDefault="00000000" w:rsidRPr="00000000" w14:paraId="00000068">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tabs>
          <w:tab w:val="left" w:pos="305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tabs>
          <w:tab w:val="left" w:pos="3054"/>
        </w:tabs>
        <w:spacing w:after="120" w:before="120" w:line="240" w:lineRule="auto"/>
        <w:ind w:left="936" w:right="0" w:hanging="576"/>
        <w:jc w:val="left"/>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2: Award Criteria</w:t>
      </w:r>
      <w:r w:rsidDel="00000000" w:rsidR="00000000" w:rsidRPr="00000000">
        <w:rPr>
          <w:rtl w:val="0"/>
        </w:rPr>
      </w:r>
    </w:p>
    <w:p w:rsidR="00000000" w:rsidDel="00000000" w:rsidP="00000000" w:rsidRDefault="00000000" w:rsidRPr="00000000" w14:paraId="0000006B">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Part 2 lays out award criteria for further competition (Annex </w:t>
      </w:r>
      <w:r w:rsidDel="00000000" w:rsidR="00000000" w:rsidRPr="00000000">
        <w:rPr>
          <w:rFonts w:ascii="Arial" w:cs="Arial" w:eastAsia="Arial" w:hAnsi="Arial"/>
          <w:sz w:val="24"/>
          <w:szCs w:val="24"/>
          <w:rtl w:val="0"/>
        </w:rPr>
        <w:t xml:space="preserve">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Call-Off Procedure.</w:t>
      </w:r>
    </w:p>
    <w:p w:rsidR="00000000" w:rsidDel="00000000" w:rsidP="00000000" w:rsidRDefault="00000000" w:rsidRPr="00000000" w14:paraId="0000006C">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Call-Off Contract may be awarded on the basis of most economically advantageous tender ("MEAT"). </w:t>
      </w:r>
    </w:p>
    <w:p w:rsidR="00000000" w:rsidDel="00000000" w:rsidP="00000000" w:rsidRDefault="00000000" w:rsidRPr="00000000" w14:paraId="0000006D">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This Schedule includes details of the evaluation criteria and any weightings that will be applied to that criteria. Criteria applicable to a Further Competition Procedure are set out in Annex A to this Schedule.</w:t>
      </w:r>
      <w:r w:rsidDel="00000000" w:rsidR="00000000" w:rsidRPr="00000000">
        <w:rPr>
          <w:rtl w:val="0"/>
        </w:rPr>
      </w:r>
    </w:p>
    <w:p w:rsidR="00000000" w:rsidDel="00000000" w:rsidP="00000000" w:rsidRDefault="00000000" w:rsidRPr="00000000" w14:paraId="0000006E">
      <w:pPr>
        <w:rPr>
          <w:rFonts w:ascii="Arial" w:cs="Arial" w:eastAsia="Arial" w:hAnsi="Arial"/>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F">
      <w:pPr>
        <w:keepNext w:val="1"/>
        <w:keepLines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w:t>
      </w:r>
      <w:r w:rsidDel="00000000" w:rsidR="00000000" w:rsidRPr="00000000">
        <w:rPr>
          <w:rFonts w:ascii="Arial Bold" w:cs="Arial Bold" w:eastAsia="Arial Bold" w:hAnsi="Arial Bold"/>
          <w:b w:val="1"/>
          <w:sz w:val="36"/>
          <w:szCs w:val="36"/>
          <w:rtl w:val="0"/>
        </w:rPr>
        <w:t xml:space="preserve">A</w:t>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 Further Competition Award Criteria</w:t>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criteria and weightings shall apply to the evaluation of tenders received through the Further Competition Procedure:</w:t>
      </w:r>
      <w:r w:rsidDel="00000000" w:rsidR="00000000" w:rsidRPr="00000000">
        <w:rPr>
          <w:rtl w:val="0"/>
        </w:rPr>
      </w:r>
    </w:p>
    <w:tbl>
      <w:tblPr>
        <w:tblStyle w:val="Table1"/>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08"/>
        <w:gridCol w:w="4508"/>
        <w:tblGridChange w:id="0">
          <w:tblGrid>
            <w:gridCol w:w="4508"/>
            <w:gridCol w:w="4508"/>
          </w:tblGrid>
        </w:tblGridChange>
      </w:tblGrid>
      <w:tr>
        <w:tc>
          <w:tcPr>
            <w:shd w:fill="e7e6e6" w:val="clear"/>
          </w:tcPr>
          <w:p w:rsidR="00000000" w:rsidDel="00000000" w:rsidP="00000000" w:rsidRDefault="00000000" w:rsidRPr="00000000" w14:paraId="00000071">
            <w:pPr>
              <w:widowControl w:val="1"/>
              <w:tabs>
                <w:tab w:val="left" w:pos="851"/>
              </w:tabs>
              <w:spacing w:after="120" w:before="12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Criteria</w:t>
            </w:r>
            <w:r w:rsidDel="00000000" w:rsidR="00000000" w:rsidRPr="00000000">
              <w:rPr>
                <w:rtl w:val="0"/>
              </w:rPr>
            </w:r>
          </w:p>
        </w:tc>
        <w:tc>
          <w:tcPr>
            <w:shd w:fill="e7e6e6" w:val="clear"/>
          </w:tcPr>
          <w:p w:rsidR="00000000" w:rsidDel="00000000" w:rsidP="00000000" w:rsidRDefault="00000000" w:rsidRPr="00000000" w14:paraId="00000072">
            <w:pPr>
              <w:widowControl w:val="1"/>
              <w:spacing w:after="200" w:before="120" w:line="276"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Relative weighting percentage </w:t>
            </w:r>
          </w:p>
          <w:p w:rsidR="00000000" w:rsidDel="00000000" w:rsidP="00000000" w:rsidRDefault="00000000" w:rsidRPr="00000000" w14:paraId="00000073">
            <w:pPr>
              <w:widowControl w:val="1"/>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be set by the Buyer conducting the further competition</w:t>
            </w:r>
          </w:p>
        </w:tc>
      </w:tr>
      <w:tr>
        <w:tc>
          <w:tcPr/>
          <w:p w:rsidR="00000000" w:rsidDel="00000000" w:rsidP="00000000" w:rsidRDefault="00000000" w:rsidRPr="00000000" w14:paraId="00000074">
            <w:pPr>
              <w:keepNext w:val="1"/>
              <w:widowControl w:val="1"/>
              <w:spacing w:after="120" w:before="12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Quality</w:t>
            </w:r>
          </w:p>
          <w:p w:rsidR="00000000" w:rsidDel="00000000" w:rsidP="00000000" w:rsidRDefault="00000000" w:rsidRPr="00000000" w14:paraId="00000075">
            <w:pPr>
              <w:keepNext w:val="1"/>
              <w:widowControl w:val="1"/>
              <w:spacing w:after="120" w:before="24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Which may consist of the following criteria:</w:t>
            </w:r>
          </w:p>
          <w:p w:rsidR="00000000" w:rsidDel="00000000" w:rsidP="00000000" w:rsidRDefault="00000000" w:rsidRPr="00000000" w14:paraId="00000076">
            <w:pPr>
              <w:keepNext w:val="1"/>
              <w:widowControl w:val="1"/>
              <w:numPr>
                <w:ilvl w:val="0"/>
                <w:numId w:val="2"/>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Added Value / Innovation</w:t>
            </w:r>
          </w:p>
          <w:p w:rsidR="00000000" w:rsidDel="00000000" w:rsidP="00000000" w:rsidRDefault="00000000" w:rsidRPr="00000000" w14:paraId="00000077">
            <w:pPr>
              <w:keepNext w:val="1"/>
              <w:widowControl w:val="1"/>
              <w:numPr>
                <w:ilvl w:val="0"/>
                <w:numId w:val="2"/>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Approach To Delivery Of The Services</w:t>
            </w:r>
          </w:p>
          <w:p w:rsidR="00000000" w:rsidDel="00000000" w:rsidP="00000000" w:rsidRDefault="00000000" w:rsidRPr="00000000" w14:paraId="00000078">
            <w:pPr>
              <w:keepNext w:val="1"/>
              <w:widowControl w:val="1"/>
              <w:numPr>
                <w:ilvl w:val="0"/>
                <w:numId w:val="2"/>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Implementation</w:t>
            </w:r>
          </w:p>
          <w:p w:rsidR="00000000" w:rsidDel="00000000" w:rsidP="00000000" w:rsidRDefault="00000000" w:rsidRPr="00000000" w14:paraId="00000079">
            <w:pPr>
              <w:keepNext w:val="1"/>
              <w:widowControl w:val="1"/>
              <w:numPr>
                <w:ilvl w:val="0"/>
                <w:numId w:val="2"/>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Use Of Supply Chain / Partners</w:t>
            </w:r>
          </w:p>
        </w:tc>
        <w:tc>
          <w:tcPr/>
          <w:p w:rsidR="00000000" w:rsidDel="00000000" w:rsidP="00000000" w:rsidRDefault="00000000" w:rsidRPr="00000000" w14:paraId="0000007A">
            <w:pPr>
              <w:widowControl w:val="1"/>
              <w:tabs>
                <w:tab w:val="left" w:pos="851"/>
              </w:tabs>
              <w:spacing w:after="120" w:before="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30-60%</w:t>
            </w:r>
          </w:p>
        </w:tc>
      </w:tr>
      <w:tr>
        <w:tc>
          <w:tcPr/>
          <w:p w:rsidR="00000000" w:rsidDel="00000000" w:rsidP="00000000" w:rsidRDefault="00000000" w:rsidRPr="00000000" w14:paraId="0000007B">
            <w:pPr>
              <w:widowControl w:val="1"/>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w:t>
            </w:r>
          </w:p>
        </w:tc>
        <w:tc>
          <w:tcPr/>
          <w:p w:rsidR="00000000" w:rsidDel="00000000" w:rsidP="00000000" w:rsidRDefault="00000000" w:rsidRPr="00000000" w14:paraId="0000007C">
            <w:pPr>
              <w:widowControl w:val="1"/>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0-30% </w:t>
            </w:r>
            <w:r w:rsidDel="00000000" w:rsidR="00000000" w:rsidRPr="00000000">
              <w:rPr>
                <w:rFonts w:ascii="Arial" w:cs="Arial" w:eastAsia="Arial" w:hAnsi="Arial"/>
                <w:sz w:val="24"/>
                <w:szCs w:val="24"/>
                <w:vertAlign w:val="superscript"/>
              </w:rPr>
              <w:footnoteReference w:customMarkFollows="0" w:id="0"/>
            </w:r>
            <w:r w:rsidDel="00000000" w:rsidR="00000000" w:rsidRPr="00000000">
              <w:rPr>
                <w:rtl w:val="0"/>
              </w:rPr>
            </w:r>
          </w:p>
        </w:tc>
      </w:tr>
      <w:tr>
        <w:tc>
          <w:tcPr/>
          <w:p w:rsidR="00000000" w:rsidDel="00000000" w:rsidP="00000000" w:rsidRDefault="00000000" w:rsidRPr="00000000" w14:paraId="0000007D">
            <w:pPr>
              <w:widowControl w:val="1"/>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effectiveness</w:t>
            </w:r>
          </w:p>
        </w:tc>
        <w:tc>
          <w:tcPr/>
          <w:p w:rsidR="00000000" w:rsidDel="00000000" w:rsidP="00000000" w:rsidRDefault="00000000" w:rsidRPr="00000000" w14:paraId="0000007E">
            <w:pPr>
              <w:widowControl w:val="1"/>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0-10%</w:t>
            </w:r>
          </w:p>
        </w:tc>
      </w:tr>
      <w:tr>
        <w:tc>
          <w:tcPr/>
          <w:p w:rsidR="00000000" w:rsidDel="00000000" w:rsidP="00000000" w:rsidRDefault="00000000" w:rsidRPr="00000000" w14:paraId="0000007F">
            <w:pPr>
              <w:widowControl w:val="1"/>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Technical merit</w:t>
            </w:r>
          </w:p>
        </w:tc>
        <w:tc>
          <w:tcPr/>
          <w:p w:rsidR="00000000" w:rsidDel="00000000" w:rsidP="00000000" w:rsidRDefault="00000000" w:rsidRPr="00000000" w14:paraId="00000080">
            <w:pPr>
              <w:widowControl w:val="1"/>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0-20%</w:t>
            </w:r>
          </w:p>
        </w:tc>
      </w:tr>
      <w:tr>
        <w:tc>
          <w:tcPr/>
          <w:p w:rsidR="00000000" w:rsidDel="00000000" w:rsidP="00000000" w:rsidRDefault="00000000" w:rsidRPr="00000000" w14:paraId="00000081">
            <w:pPr>
              <w:widowControl w:val="1"/>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Technical assistance</w:t>
            </w:r>
          </w:p>
        </w:tc>
        <w:tc>
          <w:tcPr/>
          <w:p w:rsidR="00000000" w:rsidDel="00000000" w:rsidP="00000000" w:rsidRDefault="00000000" w:rsidRPr="00000000" w14:paraId="00000082">
            <w:pPr>
              <w:widowControl w:val="1"/>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0-15%</w:t>
            </w:r>
          </w:p>
        </w:tc>
      </w:tr>
      <w:tr>
        <w:tc>
          <w:tcPr/>
          <w:p w:rsidR="00000000" w:rsidDel="00000000" w:rsidP="00000000" w:rsidRDefault="00000000" w:rsidRPr="00000000" w14:paraId="00000083">
            <w:pPr>
              <w:widowControl w:val="1"/>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After sales service</w:t>
            </w:r>
          </w:p>
        </w:tc>
        <w:tc>
          <w:tcPr/>
          <w:p w:rsidR="00000000" w:rsidDel="00000000" w:rsidP="00000000" w:rsidRDefault="00000000" w:rsidRPr="00000000" w14:paraId="00000084">
            <w:pPr>
              <w:widowControl w:val="1"/>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0-10%</w:t>
            </w:r>
          </w:p>
        </w:tc>
      </w:tr>
      <w:tr>
        <w:tc>
          <w:tcPr/>
          <w:p w:rsidR="00000000" w:rsidDel="00000000" w:rsidP="00000000" w:rsidRDefault="00000000" w:rsidRPr="00000000" w14:paraId="00000085">
            <w:pPr>
              <w:widowControl w:val="1"/>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Price</w:t>
            </w:r>
          </w:p>
        </w:tc>
        <w:tc>
          <w:tcPr/>
          <w:p w:rsidR="00000000" w:rsidDel="00000000" w:rsidP="00000000" w:rsidRDefault="00000000" w:rsidRPr="00000000" w14:paraId="00000086">
            <w:pPr>
              <w:widowControl w:val="1"/>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30-60%</w:t>
            </w:r>
          </w:p>
        </w:tc>
      </w:tr>
      <w:tr>
        <w:tc>
          <w:tcPr/>
          <w:p w:rsidR="00000000" w:rsidDel="00000000" w:rsidP="00000000" w:rsidRDefault="00000000" w:rsidRPr="00000000" w14:paraId="00000087">
            <w:pPr>
              <w:widowControl w:val="1"/>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Aesthetic and functional characteristics</w:t>
            </w:r>
          </w:p>
        </w:tc>
        <w:tc>
          <w:tcPr/>
          <w:p w:rsidR="00000000" w:rsidDel="00000000" w:rsidP="00000000" w:rsidRDefault="00000000" w:rsidRPr="00000000" w14:paraId="00000088">
            <w:pPr>
              <w:widowControl w:val="1"/>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0-10%</w:t>
            </w:r>
          </w:p>
        </w:tc>
      </w:tr>
      <w:tr>
        <w:tc>
          <w:tcPr/>
          <w:p w:rsidR="00000000" w:rsidDel="00000000" w:rsidP="00000000" w:rsidRDefault="00000000" w:rsidRPr="00000000" w14:paraId="00000089">
            <w:pPr>
              <w:widowControl w:val="1"/>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Running costs</w:t>
            </w:r>
          </w:p>
        </w:tc>
        <w:tc>
          <w:tcPr/>
          <w:p w:rsidR="00000000" w:rsidDel="00000000" w:rsidP="00000000" w:rsidRDefault="00000000" w:rsidRPr="00000000" w14:paraId="0000008A">
            <w:pPr>
              <w:widowControl w:val="1"/>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0-10%</w:t>
            </w:r>
          </w:p>
        </w:tc>
      </w:tr>
      <w:tr>
        <w:tc>
          <w:tcPr/>
          <w:p w:rsidR="00000000" w:rsidDel="00000000" w:rsidP="00000000" w:rsidRDefault="00000000" w:rsidRPr="00000000" w14:paraId="0000008B">
            <w:pPr>
              <w:widowControl w:val="1"/>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Environmental characteristics</w:t>
            </w:r>
          </w:p>
        </w:tc>
        <w:tc>
          <w:tcPr/>
          <w:p w:rsidR="00000000" w:rsidDel="00000000" w:rsidP="00000000" w:rsidRDefault="00000000" w:rsidRPr="00000000" w14:paraId="0000008C">
            <w:pPr>
              <w:widowControl w:val="1"/>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0-10%</w:t>
            </w:r>
          </w:p>
        </w:tc>
      </w:tr>
      <w:tr>
        <w:tc>
          <w:tcPr/>
          <w:p w:rsidR="00000000" w:rsidDel="00000000" w:rsidP="00000000" w:rsidRDefault="00000000" w:rsidRPr="00000000" w14:paraId="0000008D">
            <w:pPr>
              <w:widowControl w:val="1"/>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Delivery date and delivery period</w:t>
            </w:r>
          </w:p>
        </w:tc>
        <w:tc>
          <w:tcPr/>
          <w:p w:rsidR="00000000" w:rsidDel="00000000" w:rsidP="00000000" w:rsidRDefault="00000000" w:rsidRPr="00000000" w14:paraId="0000008E">
            <w:pPr>
              <w:widowControl w:val="1"/>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0-10%</w:t>
            </w:r>
          </w:p>
        </w:tc>
      </w:tr>
      <w:tr>
        <w:tc>
          <w:tcPr/>
          <w:p w:rsidR="00000000" w:rsidDel="00000000" w:rsidP="00000000" w:rsidRDefault="00000000" w:rsidRPr="00000000" w14:paraId="0000008F">
            <w:pPr>
              <w:widowControl w:val="1"/>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Period of completion</w:t>
            </w:r>
          </w:p>
        </w:tc>
        <w:tc>
          <w:tcPr/>
          <w:p w:rsidR="00000000" w:rsidDel="00000000" w:rsidP="00000000" w:rsidRDefault="00000000" w:rsidRPr="00000000" w14:paraId="00000090">
            <w:pPr>
              <w:widowControl w:val="1"/>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0-10%</w:t>
            </w:r>
          </w:p>
        </w:tc>
      </w:tr>
    </w:tbl>
    <w:p w:rsidR="00000000" w:rsidDel="00000000" w:rsidP="00000000" w:rsidRDefault="00000000" w:rsidRPr="00000000" w14:paraId="00000091">
      <w:pPr>
        <w:widowControl w:val="1"/>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ffffff"/>
          <w:sz w:val="24"/>
          <w:szCs w:val="24"/>
          <w:u w:val="none"/>
          <w:shd w:fill="auto" w:val="clear"/>
          <w:vertAlign w:val="baseline"/>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Arial Bold"/>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A">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r>
  </w:p>
  <w:p w:rsidR="00000000" w:rsidDel="00000000" w:rsidP="00000000" w:rsidRDefault="00000000" w:rsidRPr="00000000" w14:paraId="0000009B">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C">
    <w:pPr>
      <w:tabs>
        <w:tab w:val="left" w:pos="720"/>
        <w:tab w:val="left" w:pos="1440"/>
        <w:tab w:val="left" w:pos="2160"/>
        <w:tab w:val="left" w:pos="2880"/>
        <w:tab w:val="left" w:pos="3600"/>
        <w:tab w:val="center"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D">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RM6193</w:t>
      <w:tab/>
      <w:t xml:space="preserve">                                           </w:t>
    </w:r>
  </w:p>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F">
    <w:pPr>
      <w:tabs>
        <w:tab w:val="left" w:pos="720"/>
        <w:tab w:val="left" w:pos="1440"/>
        <w:tab w:val="left" w:pos="2160"/>
        <w:tab w:val="left" w:pos="2880"/>
        <w:tab w:val="left" w:pos="3600"/>
        <w:tab w:val="center"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v3.1</w:t>
      <w:tab/>
      <w:tab/>
      <w:tab/>
      <w:tab/>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A0">
      <w:pPr>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Please apply the relevant weighting for the call-off, as per PPN 06/20</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Framework Schedule 7 (Call-Off Award Procedure)</w:t>
    </w:r>
  </w:p>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2018</w:t>
    </w:r>
  </w:p>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7 (Call-Off Award Procedure)</w:t>
    </w:r>
  </w:p>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20</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rPr/>
    </w:lvl>
    <w:lvl w:ilvl="7">
      <w:start w:val="1"/>
      <w:numFmt w:val="decimal"/>
      <w:lvlText w:val="%1.%2.%3.%4.%5.%6.%7.%8"/>
      <w:lvlJc w:val="left"/>
      <w:pPr>
        <w:ind w:left="2520" w:hanging="1440"/>
      </w:pPr>
      <w:rPr/>
    </w:lvl>
    <w:lvl w:ilvl="8">
      <w:start w:val="1"/>
      <w:numFmt w:val="decimal"/>
      <w:lvlText w:val="%1.%2.%3.%4.%5.%6.%7.%8.%9"/>
      <w:lvlJc w:val="left"/>
      <w:pPr>
        <w:ind w:left="2880" w:hanging="180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rFonts w:ascii="Arial" w:cs="Arial" w:eastAsia="Arial" w:hAnsi="Arial"/>
        <w:b w:val="0"/>
        <w:i w:val="0"/>
        <w:smallCaps w:val="0"/>
        <w:strike w:val="0"/>
        <w:color w:val="00000a"/>
        <w:sz w:val="24"/>
        <w:szCs w:val="24"/>
        <w:u w:val="none"/>
        <w:vertAlign w:val="baseline"/>
      </w:rPr>
    </w:lvl>
    <w:lvl w:ilvl="2">
      <w:start w:val="1"/>
      <w:numFmt w:val="decimal"/>
      <w:lvlText w:val="%1.%2.%3"/>
      <w:lvlJc w:val="left"/>
      <w:pPr>
        <w:ind w:left="2610" w:hanging="720"/>
      </w:pPr>
      <w:rPr>
        <w:rFonts w:ascii="Arial" w:cs="Arial" w:eastAsia="Arial" w:hAnsi="Arial"/>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rsid w:val="00532FDD"/>
    <w:pPr>
      <w:keepNext w:val="1"/>
      <w:keepLines w:val="1"/>
      <w:spacing w:before="240"/>
      <w:outlineLvl w:val="0"/>
    </w:pPr>
    <w:rPr>
      <w:rFonts w:asciiTheme="majorHAnsi" w:cstheme="majorBidi" w:eastAsiaTheme="majorEastAsia" w:hAnsiTheme="majorHAnsi"/>
      <w:color w:val="2f5496" w:themeColor="accent1" w:themeShade="0000BF"/>
      <w:sz w:val="32"/>
      <w:szCs w:val="3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Standard" w:customStyle="1">
    <w:name w:val="Standard"/>
    <w:pPr>
      <w:widowControl w:val="1"/>
      <w:spacing w:after="240"/>
      <w:jc w:val="both"/>
    </w:pPr>
    <w:rPr>
      <w:rFonts w:cs="Arial" w:eastAsia="Times New Roman"/>
    </w:rPr>
  </w:style>
  <w:style w:type="paragraph" w:styleId="Heading" w:customStyle="1">
    <w:name w:val="Heading"/>
    <w:basedOn w:val="Standard"/>
    <w:next w:val="Textbody"/>
    <w:pPr>
      <w:keepNext w:val="1"/>
      <w:spacing w:after="120" w:before="240"/>
    </w:pPr>
    <w:rPr>
      <w:rFonts w:ascii="Liberation Sans" w:cs="Arial Unicode MS" w:eastAsia="Arial Unicode MS" w:hAnsi="Liberation Sans"/>
      <w:sz w:val="28"/>
      <w:szCs w:val="28"/>
    </w:rPr>
  </w:style>
  <w:style w:type="paragraph" w:styleId="Textbody" w:customStyle="1">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val="1"/>
      <w:spacing w:after="120" w:before="120"/>
    </w:pPr>
    <w:rPr>
      <w:i w:val="1"/>
      <w:iCs w:val="1"/>
      <w:sz w:val="24"/>
      <w:szCs w:val="24"/>
    </w:rPr>
  </w:style>
  <w:style w:type="paragraph" w:styleId="Index" w:customStyle="1">
    <w:name w:val="Index"/>
    <w:basedOn w:val="Standard"/>
    <w:pPr>
      <w:suppressLineNumbers w:val="1"/>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styleId="MarginText" w:customStyle="1">
    <w:name w:val="Margin Text"/>
    <w:basedOn w:val="Standard"/>
    <w:pPr>
      <w:keepNext w:val="1"/>
      <w:overflowPunct w:val="0"/>
      <w:spacing w:after="120" w:before="240"/>
      <w:ind w:left="142"/>
      <w:textAlignment w:val="auto"/>
    </w:pPr>
    <w:rPr>
      <w:rFonts w:cs="Times New Roman" w:eastAsia="STZhongsong"/>
      <w:szCs w:val="18"/>
      <w:lang w:eastAsia="zh-CN"/>
    </w:rPr>
  </w:style>
  <w:style w:type="paragraph" w:styleId="GPSL1CLAUSEHEADING" w:customStyle="1">
    <w:name w:val="GPS L1 CLAUSE HEADING"/>
    <w:basedOn w:val="Standard"/>
    <w:next w:val="Standard"/>
    <w:pPr>
      <w:tabs>
        <w:tab w:val="left" w:pos="142"/>
      </w:tabs>
      <w:overflowPunct w:val="0"/>
      <w:spacing w:before="120"/>
      <w:textAlignment w:val="auto"/>
      <w:outlineLvl w:val="1"/>
    </w:pPr>
    <w:rPr>
      <w:rFonts w:eastAsia="STZhongsong"/>
      <w:b w:val="1"/>
      <w:caps w:val="1"/>
      <w:lang w:eastAsia="zh-CN"/>
    </w:rPr>
  </w:style>
  <w:style w:type="paragraph" w:styleId="GPSL3numberedclause" w:customStyle="1">
    <w:name w:val="GPS L3 numbered clause"/>
    <w:basedOn w:val="Standard"/>
    <w:pPr>
      <w:tabs>
        <w:tab w:val="left" w:pos="3641"/>
      </w:tabs>
      <w:overflowPunct w:val="0"/>
      <w:spacing w:after="120" w:before="120"/>
      <w:ind w:left="1656"/>
      <w:textAlignment w:val="auto"/>
    </w:pPr>
    <w:rPr>
      <w:lang w:eastAsia="zh-CN"/>
    </w:rPr>
  </w:style>
  <w:style w:type="paragraph" w:styleId="GPSL4numberedclause" w:customStyle="1">
    <w:name w:val="GPS L4 numbered clause"/>
    <w:basedOn w:val="GPSL3numberedclause"/>
    <w:pPr>
      <w:tabs>
        <w:tab w:val="clear" w:pos="3641"/>
      </w:tabs>
      <w:ind w:left="2592" w:hanging="936"/>
    </w:pPr>
  </w:style>
  <w:style w:type="paragraph" w:styleId="GPSL5numberedclause" w:customStyle="1">
    <w:name w:val="GPS L5 numbered clause"/>
    <w:basedOn w:val="GPSL4numberedclause"/>
    <w:pPr>
      <w:tabs>
        <w:tab w:val="left" w:pos="6238"/>
      </w:tabs>
      <w:ind w:left="3119" w:hanging="567"/>
    </w:pPr>
  </w:style>
  <w:style w:type="paragraph" w:styleId="GPSL2NumberedBoldHeading" w:customStyle="1">
    <w:name w:val="GPS L2 Numbered Bold Heading"/>
    <w:basedOn w:val="Standard"/>
    <w:pPr>
      <w:tabs>
        <w:tab w:val="left" w:pos="3054"/>
      </w:tabs>
      <w:overflowPunct w:val="0"/>
      <w:spacing w:after="120" w:before="120"/>
      <w:ind w:left="1920"/>
      <w:textAlignment w:val="auto"/>
    </w:pPr>
    <w:rPr>
      <w:b w:val="1"/>
      <w:lang w:eastAsia="zh-CN"/>
    </w:rPr>
  </w:style>
  <w:style w:type="paragraph" w:styleId="GPSL6numbered" w:customStyle="1">
    <w:name w:val="GPS L6 numbered"/>
    <w:basedOn w:val="GPSL5numberedclause"/>
    <w:pPr>
      <w:tabs>
        <w:tab w:val="clear" w:pos="6238"/>
        <w:tab w:val="left" w:pos="4046"/>
        <w:tab w:val="left" w:pos="7372"/>
      </w:tabs>
      <w:ind w:left="3686"/>
    </w:pPr>
  </w:style>
  <w:style w:type="paragraph" w:styleId="GPSL1Guidance" w:customStyle="1">
    <w:name w:val="GPS L1 Guidance"/>
    <w:basedOn w:val="Standard"/>
    <w:pPr>
      <w:spacing w:after="120" w:before="240"/>
      <w:ind w:left="426"/>
    </w:pPr>
    <w:rPr>
      <w:b w:val="1"/>
      <w:i w:val="1"/>
    </w:rPr>
  </w:style>
  <w:style w:type="paragraph" w:styleId="GPSL1SCHEDULEHeading" w:customStyle="1">
    <w:name w:val="GPS L1 SCHEDULE Heading"/>
    <w:basedOn w:val="GPSL1CLAUSEHEADING"/>
    <w:pPr>
      <w:tabs>
        <w:tab w:val="clear" w:pos="142"/>
      </w:tabs>
    </w:pPr>
  </w:style>
  <w:style w:type="paragraph" w:styleId="GPSmacrorestart" w:customStyle="1">
    <w:name w:val="GPS macro restart"/>
    <w:basedOn w:val="Standard"/>
    <w:qFormat w:val="1"/>
    <w:pPr>
      <w:spacing w:after="0"/>
    </w:pPr>
    <w:rPr>
      <w:color w:val="ffffff"/>
      <w:sz w:val="16"/>
      <w:szCs w:val="16"/>
    </w:rPr>
  </w:style>
  <w:style w:type="paragraph" w:styleId="GPSSchTitleandNumber" w:customStyle="1">
    <w:name w:val="GPS Sch Title and Number"/>
    <w:basedOn w:val="Standard"/>
    <w:pPr>
      <w:keepNext w:val="1"/>
      <w:overflowPunct w:val="0"/>
      <w:ind w:firstLine="426"/>
      <w:jc w:val="center"/>
      <w:textAlignment w:val="auto"/>
      <w:outlineLvl w:val="0"/>
    </w:pPr>
    <w:rPr>
      <w:rFonts w:ascii="Arial Bold" w:cs="Times New Roman" w:eastAsia="STZhongsong" w:hAnsi="Arial Bold"/>
      <w:b w:val="1"/>
      <w:caps w:val="1"/>
      <w:lang w:eastAsia="zh-CN"/>
    </w:rPr>
  </w:style>
  <w:style w:type="paragraph" w:styleId="GPSSchPart" w:customStyle="1">
    <w:name w:val="GPS Sch Part"/>
    <w:basedOn w:val="Standard"/>
    <w:qFormat w:val="1"/>
    <w:pPr>
      <w:keepNext w:val="1"/>
      <w:overflowPunct w:val="0"/>
      <w:spacing w:before="240"/>
      <w:ind w:firstLine="426"/>
      <w:jc w:val="center"/>
      <w:textAlignment w:val="auto"/>
    </w:pPr>
    <w:rPr>
      <w:rFonts w:ascii="Arial Bold" w:cs="Times New Roman" w:eastAsia="STZhongsong" w:hAnsi="Arial Bold"/>
      <w:b w:val="1"/>
      <w:caps w:val="1"/>
      <w:lang w:eastAsia="zh-CN"/>
    </w:rPr>
  </w:style>
  <w:style w:type="paragraph" w:styleId="GPSL2Numbered" w:customStyle="1">
    <w:name w:val="GPS L2 Numbered"/>
    <w:basedOn w:val="GPSL2NumberedBoldHeading"/>
    <w:pPr>
      <w:tabs>
        <w:tab w:val="clear" w:pos="3054"/>
      </w:tabs>
      <w:ind w:left="936" w:hanging="576"/>
    </w:pPr>
    <w:rPr>
      <w:b w:val="0"/>
    </w:rPr>
  </w:style>
  <w:style w:type="paragraph" w:styleId="GPSL1Schedulenumbered" w:customStyle="1">
    <w:name w:val="GPS L1 Schedule numbered"/>
    <w:basedOn w:val="Standard"/>
    <w:qFormat w:val="1"/>
    <w:pPr>
      <w:tabs>
        <w:tab w:val="left" w:pos="851"/>
      </w:tabs>
    </w:pPr>
  </w:style>
  <w:style w:type="paragraph" w:styleId="BalloonText">
    <w:name w:val="Balloon Text"/>
    <w:basedOn w:val="Standard"/>
    <w:pPr>
      <w:spacing w:after="0"/>
    </w:pPr>
    <w:rPr>
      <w:rFonts w:ascii="Tahoma" w:cs="Tahoma" w:eastAsia="Tahoma" w:hAnsi="Tahoma"/>
      <w:sz w:val="16"/>
      <w:szCs w:val="16"/>
    </w:rPr>
  </w:style>
  <w:style w:type="paragraph" w:styleId="GPSL2Guidance" w:customStyle="1">
    <w:name w:val="GPS L2 Guidance"/>
    <w:basedOn w:val="Standard"/>
    <w:pPr>
      <w:tabs>
        <w:tab w:val="left" w:pos="2268"/>
      </w:tabs>
      <w:overflowPunct w:val="0"/>
      <w:spacing w:after="120" w:before="120"/>
      <w:ind w:left="1134"/>
      <w:textAlignment w:val="auto"/>
    </w:pPr>
    <w:rPr>
      <w:b w:val="1"/>
      <w:i w:val="1"/>
      <w:lang w:eastAsia="zh-CN"/>
    </w:rPr>
  </w:style>
  <w:style w:type="paragraph" w:styleId="GPSL2Indent" w:customStyle="1">
    <w:name w:val="GPS L2 Indent"/>
    <w:basedOn w:val="Standard"/>
    <w:pPr>
      <w:tabs>
        <w:tab w:val="left" w:pos="4536"/>
      </w:tabs>
      <w:spacing w:after="220"/>
      <w:ind w:left="1134"/>
    </w:pPr>
    <w:rPr>
      <w:szCs w:val="24"/>
    </w:rPr>
  </w:style>
  <w:style w:type="paragraph" w:styleId="GPSL4Guidance" w:customStyle="1">
    <w:name w:val="GPS L4 Guidance"/>
    <w:basedOn w:val="Standard"/>
    <w:pPr>
      <w:tabs>
        <w:tab w:val="left" w:pos="3970"/>
      </w:tabs>
      <w:overflowPunct w:val="0"/>
      <w:spacing w:after="120" w:before="120"/>
      <w:ind w:left="1985"/>
      <w:textAlignment w:val="auto"/>
    </w:pPr>
    <w:rPr>
      <w:b w:val="1"/>
      <w:i w:val="1"/>
      <w:lang w:eastAsia="zh-CN"/>
    </w:rPr>
  </w:style>
  <w:style w:type="paragraph" w:styleId="GPSL2non-numberboldheading" w:customStyle="1">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val="1"/>
      <w:bCs w:val="1"/>
    </w:rPr>
  </w:style>
  <w:style w:type="character" w:styleId="HeaderChar" w:customStyle="1">
    <w:name w:val="Header Char"/>
    <w:basedOn w:val="DefaultParagraphFont"/>
  </w:style>
  <w:style w:type="character" w:styleId="FooterChar" w:customStyle="1">
    <w:name w:val="Footer Char"/>
    <w:basedOn w:val="DefaultParagraphFont"/>
    <w:uiPriority w:val="99"/>
  </w:style>
  <w:style w:type="character" w:styleId="Emphasis">
    <w:name w:val="Emphasis"/>
    <w:basedOn w:val="DefaultParagraphFont"/>
    <w:rPr>
      <w:i w:val="1"/>
      <w:iCs w:val="1"/>
    </w:rPr>
  </w:style>
  <w:style w:type="character" w:styleId="MarginTextChar" w:customStyle="1">
    <w:name w:val="Margin Text Char"/>
    <w:rPr>
      <w:rFonts w:ascii="Calibri" w:cs="Times New Roman" w:eastAsia="STZhongsong" w:hAnsi="Calibri"/>
      <w:szCs w:val="18"/>
      <w:lang w:eastAsia="zh-CN"/>
    </w:rPr>
  </w:style>
  <w:style w:type="character" w:styleId="GPSL2NumberedChar" w:customStyle="1">
    <w:name w:val="GPS L2 Numbered Char"/>
    <w:rPr>
      <w:rFonts w:ascii="Calibri" w:cs="Arial" w:eastAsia="Times New Roman" w:hAnsi="Calibri"/>
      <w:lang w:eastAsia="zh-CN"/>
    </w:rPr>
  </w:style>
  <w:style w:type="character" w:styleId="GPSL1SCHEDULEHeadingChar" w:customStyle="1">
    <w:name w:val="GPS L1 SCHEDULE Heading Char"/>
    <w:rPr>
      <w:rFonts w:ascii="Calibri" w:cs="Arial" w:eastAsia="STZhongsong" w:hAnsi="Calibri"/>
      <w:b w:val="1"/>
      <w:caps w:val="1"/>
      <w:lang w:eastAsia="zh-CN"/>
    </w:rPr>
  </w:style>
  <w:style w:type="character" w:styleId="GPSL1SchedulenumberedChar1" w:customStyle="1">
    <w:name w:val="GPS L1 Schedule numbered Char1"/>
    <w:rPr>
      <w:rFonts w:ascii="Calibri" w:cs="Arial" w:eastAsia="Times New Roman" w:hAnsi="Calibri"/>
    </w:rPr>
  </w:style>
  <w:style w:type="character" w:styleId="GPSL1GuidanceChar" w:customStyle="1">
    <w:name w:val="GPS L1 Guidance Char"/>
    <w:rPr>
      <w:rFonts w:ascii="Calibri" w:cs="Arial" w:eastAsia="Times New Roman" w:hAnsi="Calibri"/>
      <w:b w:val="1"/>
      <w:i w:val="1"/>
    </w:rPr>
  </w:style>
  <w:style w:type="character" w:styleId="GPSSchTitleandNumberChar" w:customStyle="1">
    <w:name w:val="GPS Sch Title and Number Char"/>
    <w:rPr>
      <w:rFonts w:ascii="Arial Bold" w:cs="Times New Roman" w:eastAsia="STZhongsong" w:hAnsi="Arial Bold"/>
      <w:b w:val="1"/>
      <w:caps w:val="1"/>
      <w:lang w:eastAsia="zh-CN"/>
    </w:rPr>
  </w:style>
  <w:style w:type="character" w:styleId="GPSSchPartChar" w:customStyle="1">
    <w:name w:val="GPS Sch Part Char"/>
    <w:rPr>
      <w:rFonts w:ascii="Arial Bold" w:cs="Times New Roman" w:eastAsia="STZhongsong" w:hAnsi="Arial Bold"/>
      <w:b w:val="1"/>
      <w:caps w:val="1"/>
      <w:lang w:eastAsia="zh-CN"/>
    </w:rPr>
  </w:style>
  <w:style w:type="character" w:styleId="BalloonTextChar" w:customStyle="1">
    <w:name w:val="Balloon Text Char"/>
    <w:basedOn w:val="DefaultParagraphFont"/>
    <w:rPr>
      <w:rFonts w:ascii="Tahoma" w:cs="Tahoma" w:eastAsia="Times New Roman" w:hAnsi="Tahoma"/>
      <w:sz w:val="16"/>
      <w:szCs w:val="16"/>
    </w:rPr>
  </w:style>
  <w:style w:type="character" w:styleId="GPSL4numberedclauseChar" w:customStyle="1">
    <w:name w:val="GPS L4 numbered clause Char"/>
    <w:rPr>
      <w:rFonts w:ascii="Calibri" w:cs="Arial" w:eastAsia="Times New Roman" w:hAnsi="Calibri"/>
      <w:lang w:eastAsia="zh-CN"/>
    </w:rPr>
  </w:style>
  <w:style w:type="character" w:styleId="GPSL3numberedclauseChar" w:customStyle="1">
    <w:name w:val="GPS L3 numbered clause Char"/>
    <w:rPr>
      <w:rFonts w:ascii="Calibri" w:cs="Arial" w:eastAsia="Times New Roman" w:hAnsi="Calibri"/>
      <w:lang w:eastAsia="zh-CN"/>
    </w:rPr>
  </w:style>
  <w:style w:type="character" w:styleId="GPSL5numberedclauseChar" w:customStyle="1">
    <w:name w:val="GPS L5 numbered clause Char"/>
    <w:rPr>
      <w:rFonts w:ascii="Calibri" w:cs="Arial" w:eastAsia="Times New Roman" w:hAnsi="Calibri"/>
      <w:lang w:eastAsia="zh-CN"/>
    </w:rPr>
  </w:style>
  <w:style w:type="character" w:styleId="GPSL4GuidanceChar" w:customStyle="1">
    <w:name w:val="GPS L4 Guidance Char"/>
    <w:rPr>
      <w:rFonts w:ascii="Calibri" w:cs="Arial" w:eastAsia="Times New Roman" w:hAnsi="Calibri"/>
      <w:b w:val="1"/>
      <w:i w:val="1"/>
      <w:lang w:eastAsia="zh-CN"/>
    </w:rPr>
  </w:style>
  <w:style w:type="character" w:styleId="GPSL2non-numberboldheadingChar" w:customStyle="1">
    <w:name w:val="GPS L2 non-number bold heading Char"/>
    <w:rPr>
      <w:rFonts w:ascii="Calibri" w:cs="Arial" w:eastAsia="Times New Roman" w:hAnsi="Calibri"/>
      <w:b w:val="1"/>
      <w:lang w:eastAsia="zh-CN"/>
    </w:rPr>
  </w:style>
  <w:style w:type="character" w:styleId="GPSL2IndentChar" w:customStyle="1">
    <w:name w:val="GPS L2 Indent Char"/>
    <w:rPr>
      <w:rFonts w:ascii="Calibri" w:cs="Arial" w:eastAsia="Times New Roman" w:hAnsi="Calibri"/>
      <w:szCs w:val="24"/>
    </w:rPr>
  </w:style>
  <w:style w:type="character" w:styleId="GPSL2GuidanceChar" w:customStyle="1">
    <w:name w:val="GPS L2 Guidance Char"/>
    <w:rPr>
      <w:rFonts w:ascii="Calibri" w:cs="Arial" w:eastAsia="Times New Roman" w:hAnsi="Calibri"/>
      <w:b w:val="1"/>
      <w:i w:val="1"/>
      <w:lang w:eastAsia="zh-CN"/>
    </w:rPr>
  </w:style>
  <w:style w:type="character" w:styleId="CommentReference">
    <w:name w:val="annotation reference"/>
    <w:basedOn w:val="DefaultParagraphFont"/>
    <w:rPr>
      <w:sz w:val="16"/>
      <w:szCs w:val="16"/>
    </w:rPr>
  </w:style>
  <w:style w:type="character" w:styleId="CommentTextChar" w:customStyle="1">
    <w:name w:val="Comment Text Char"/>
    <w:basedOn w:val="DefaultParagraphFont"/>
    <w:rPr>
      <w:rFonts w:ascii="Calibri" w:cs="Arial" w:eastAsia="Times New Roman" w:hAnsi="Calibri"/>
      <w:sz w:val="20"/>
      <w:szCs w:val="20"/>
    </w:rPr>
  </w:style>
  <w:style w:type="character" w:styleId="CommentSubjectChar" w:customStyle="1">
    <w:name w:val="Comment Subject Char"/>
    <w:basedOn w:val="CommentTextChar"/>
    <w:rPr>
      <w:rFonts w:ascii="Calibri" w:cs="Arial" w:eastAsia="Times New Roman" w:hAnsi="Calibri"/>
      <w:b w:val="1"/>
      <w:bCs w:val="1"/>
      <w:sz w:val="20"/>
      <w:szCs w:val="20"/>
    </w:rPr>
  </w:style>
  <w:style w:type="character" w:styleId="ListLabel1" w:customStyle="1">
    <w:name w:val="ListLabel 1"/>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 w:customStyle="1">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 w:customStyle="1">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 w:customStyle="1">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 w:customStyle="1">
    <w:name w:val="ListLabel 5"/>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 w:customStyle="1">
    <w:name w:val="ListLabel 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 w:customStyle="1">
    <w:name w:val="ListLabel 7"/>
    <w:rPr>
      <w:rFonts w:cs="Times New Roman"/>
    </w:rPr>
  </w:style>
  <w:style w:type="character" w:styleId="ListLabel8" w:customStyle="1">
    <w:name w:val="ListLabel 8"/>
    <w:rPr>
      <w:rFonts w:cs="Times New Roman"/>
    </w:rPr>
  </w:style>
  <w:style w:type="character" w:styleId="ListLabel9" w:customStyle="1">
    <w:name w:val="ListLabel 9"/>
    <w:rPr>
      <w:rFonts w:cs="Times New Roman"/>
    </w:rPr>
  </w:style>
  <w:style w:type="character" w:styleId="ListLabel10" w:customStyle="1">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11" w:customStyle="1">
    <w:name w:val="ListLabel 11"/>
    <w:rPr>
      <w:rFonts w:cs="Times New Roman"/>
    </w:rPr>
  </w:style>
  <w:style w:type="character" w:styleId="ListLabel12" w:customStyle="1">
    <w:name w:val="ListLabel 12"/>
    <w:rPr>
      <w:rFonts w:cs="Times New Roman"/>
    </w:rPr>
  </w:style>
  <w:style w:type="character" w:styleId="ListLabel13" w:customStyle="1">
    <w:name w:val="ListLabel 13"/>
    <w:rPr>
      <w:rFonts w:cs="Times New Roman"/>
    </w:rPr>
  </w:style>
  <w:style w:type="character" w:styleId="ListLabel14" w:customStyle="1">
    <w:name w:val="ListLabel 14"/>
    <w:rPr>
      <w:rFonts w:cs="Times New Roman"/>
    </w:rPr>
  </w:style>
  <w:style w:type="character" w:styleId="ListLabel15" w:customStyle="1">
    <w:name w:val="ListLabel 15"/>
    <w:rPr>
      <w:rFonts w:cs="Times New Roman"/>
    </w:rPr>
  </w:style>
  <w:style w:type="character" w:styleId="ListLabel16" w:customStyle="1">
    <w:name w:val="ListLabel 16"/>
    <w:rPr>
      <w:rFonts w:cs="Times New Roman"/>
    </w:rPr>
  </w:style>
  <w:style w:type="character" w:styleId="ListLabel17" w:customStyle="1">
    <w:name w:val="ListLabel 17"/>
    <w:rPr>
      <w:rFonts w:cs="Times New Roman"/>
    </w:rPr>
  </w:style>
  <w:style w:type="character" w:styleId="ListLabel18" w:customStyle="1">
    <w:name w:val="ListLabel 18"/>
    <w:rPr>
      <w:rFonts w:cs="Times New Roman"/>
    </w:rPr>
  </w:style>
  <w:style w:type="character" w:styleId="ListLabel19" w:customStyle="1">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0" w:customStyle="1">
    <w:name w:val="ListLabel 20"/>
    <w:rPr>
      <w:rFonts w:cs="Times New Roman"/>
    </w:rPr>
  </w:style>
  <w:style w:type="character" w:styleId="ListLabel21" w:customStyle="1">
    <w:name w:val="ListLabel 21"/>
    <w:rPr>
      <w:rFonts w:cs="Times New Roman"/>
    </w:rPr>
  </w:style>
  <w:style w:type="character" w:styleId="ListLabel22" w:customStyle="1">
    <w:name w:val="ListLabel 22"/>
    <w:rPr>
      <w:rFonts w:cs="Times New Roman"/>
    </w:rPr>
  </w:style>
  <w:style w:type="character" w:styleId="ListLabel23" w:customStyle="1">
    <w:name w:val="ListLabel 23"/>
    <w:rPr>
      <w:rFonts w:cs="Times New Roman"/>
    </w:rPr>
  </w:style>
  <w:style w:type="character" w:styleId="ListLabel24" w:customStyle="1">
    <w:name w:val="ListLabel 24"/>
    <w:rPr>
      <w:rFonts w:cs="Times New Roman"/>
    </w:rPr>
  </w:style>
  <w:style w:type="character" w:styleId="ListLabel25" w:customStyle="1">
    <w:name w:val="ListLabel 25"/>
    <w:rPr>
      <w:rFonts w:cs="Times New Roman"/>
    </w:rPr>
  </w:style>
  <w:style w:type="character" w:styleId="ListLabel26" w:customStyle="1">
    <w:name w:val="ListLabel 26"/>
    <w:rPr>
      <w:rFonts w:cs="Times New Roman"/>
    </w:rPr>
  </w:style>
  <w:style w:type="character" w:styleId="ListLabel27" w:customStyle="1">
    <w:name w:val="ListLabel 27"/>
    <w:rPr>
      <w:rFonts w:cs="Times New Roman"/>
    </w:rPr>
  </w:style>
  <w:style w:type="character" w:styleId="ListLabel28" w:customStyle="1">
    <w:name w:val="ListLabel 28"/>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9" w:customStyle="1">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0" w:customStyle="1">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1" w:customStyle="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2" w:customStyle="1">
    <w:name w:val="ListLabel 3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3" w:customStyle="1">
    <w:name w:val="ListLabel 33"/>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4" w:customStyle="1">
    <w:name w:val="ListLabel 34"/>
    <w:rPr>
      <w:rFonts w:cs="Times New Roman"/>
    </w:rPr>
  </w:style>
  <w:style w:type="character" w:styleId="ListLabel35" w:customStyle="1">
    <w:name w:val="ListLabel 35"/>
    <w:rPr>
      <w:rFonts w:cs="Times New Roman"/>
    </w:rPr>
  </w:style>
  <w:style w:type="character" w:styleId="ListLabel36" w:customStyle="1">
    <w:name w:val="ListLabel 36"/>
    <w:rPr>
      <w:rFonts w:cs="Times New Roman"/>
    </w:rPr>
  </w:style>
  <w:style w:type="character" w:styleId="ListLabel37" w:customStyle="1">
    <w:name w:val="ListLabel 37"/>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8" w:customStyle="1">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9" w:customStyle="1">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0" w:customStyle="1">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1" w:customStyle="1">
    <w:name w:val="ListLabel 4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2" w:customStyle="1">
    <w:name w:val="ListLabel 4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3" w:customStyle="1">
    <w:name w:val="ListLabel 43"/>
    <w:rPr>
      <w:rFonts w:cs="Times New Roman"/>
    </w:rPr>
  </w:style>
  <w:style w:type="character" w:styleId="ListLabel44" w:customStyle="1">
    <w:name w:val="ListLabel 44"/>
    <w:rPr>
      <w:rFonts w:cs="Times New Roman"/>
    </w:rPr>
  </w:style>
  <w:style w:type="character" w:styleId="ListLabel45" w:customStyle="1">
    <w:name w:val="ListLabel 45"/>
    <w:rPr>
      <w:rFonts w:cs="Times New Roman"/>
    </w:rPr>
  </w:style>
  <w:style w:type="character" w:styleId="ListLabel46" w:customStyle="1">
    <w:name w:val="ListLabel 46"/>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7" w:customStyle="1">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8" w:customStyle="1">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9" w:customStyle="1">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0" w:customStyle="1">
    <w:name w:val="ListLabel 5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1" w:customStyle="1">
    <w:name w:val="ListLabel 5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2" w:customStyle="1">
    <w:name w:val="ListLabel 52"/>
    <w:rPr>
      <w:rFonts w:cs="Times New Roman"/>
    </w:rPr>
  </w:style>
  <w:style w:type="character" w:styleId="ListLabel53" w:customStyle="1">
    <w:name w:val="ListLabel 53"/>
    <w:rPr>
      <w:rFonts w:cs="Times New Roman"/>
    </w:rPr>
  </w:style>
  <w:style w:type="character" w:styleId="ListLabel54" w:customStyle="1">
    <w:name w:val="ListLabel 54"/>
    <w:rPr>
      <w:rFonts w:cs="Times New Roman"/>
    </w:rPr>
  </w:style>
  <w:style w:type="character" w:styleId="ListLabel55" w:customStyle="1">
    <w:name w:val="ListLabel 55"/>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6" w:customStyle="1">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7" w:customStyle="1">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8" w:customStyle="1">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9" w:customStyle="1">
    <w:name w:val="ListLabel 59"/>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0" w:customStyle="1">
    <w:name w:val="ListLabel 6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1" w:customStyle="1">
    <w:name w:val="ListLabel 61"/>
    <w:rPr>
      <w:rFonts w:cs="Times New Roman"/>
    </w:rPr>
  </w:style>
  <w:style w:type="character" w:styleId="ListLabel62" w:customStyle="1">
    <w:name w:val="ListLabel 62"/>
    <w:rPr>
      <w:rFonts w:cs="Times New Roman"/>
    </w:rPr>
  </w:style>
  <w:style w:type="character" w:styleId="ListLabel63" w:customStyle="1">
    <w:name w:val="ListLabel 63"/>
    <w:rPr>
      <w:rFonts w:cs="Times New Roman"/>
    </w:rPr>
  </w:style>
  <w:style w:type="character" w:styleId="ListLabel64" w:customStyle="1">
    <w:name w:val="ListLabel 64"/>
    <w:rPr>
      <w:rFonts w:cs="Courier New"/>
      <w:b w:val="0"/>
    </w:rPr>
  </w:style>
  <w:style w:type="character" w:styleId="ListLabel65" w:customStyle="1">
    <w:name w:val="ListLabel 65"/>
    <w:rPr>
      <w:rFonts w:cs="Courier New"/>
    </w:rPr>
  </w:style>
  <w:style w:type="character" w:styleId="ListLabel66" w:customStyle="1">
    <w:name w:val="ListLabel 66"/>
    <w:rPr>
      <w:rFonts w:cs="Courier New"/>
    </w:rPr>
  </w:style>
  <w:style w:type="character" w:styleId="ListLabel67" w:customStyle="1">
    <w:name w:val="ListLabel 67"/>
    <w:rPr>
      <w:rFonts w:cs="Courier New"/>
    </w:rPr>
  </w:style>
  <w:style w:type="character" w:styleId="ListLabel68" w:customStyle="1">
    <w:name w:val="ListLabel 68"/>
    <w:rPr>
      <w:rFonts w:cs="Courier New"/>
    </w:rPr>
  </w:style>
  <w:style w:type="character" w:styleId="ListLabel69" w:customStyle="1">
    <w:name w:val="ListLabel 69"/>
    <w:rPr>
      <w:rFonts w:cs="Courier New"/>
    </w:rPr>
  </w:style>
  <w:style w:type="character" w:styleId="ListLabel70" w:customStyle="1">
    <w:name w:val="ListLabel 70"/>
    <w:rPr>
      <w:rFonts w:cs="Courier New"/>
    </w:rPr>
  </w:style>
  <w:style w:type="character" w:styleId="ListLabel71" w:customStyle="1">
    <w:name w:val="ListLabel 71"/>
    <w:rPr>
      <w:rFonts w:cs="Courier New"/>
    </w:rPr>
  </w:style>
  <w:style w:type="character" w:styleId="ListLabel72" w:customStyle="1">
    <w:name w:val="ListLabel 72"/>
    <w:rPr>
      <w:rFonts w:cs="Courier New"/>
    </w:rPr>
  </w:style>
  <w:style w:type="character" w:styleId="ListLabel73" w:customStyle="1">
    <w:name w:val="ListLabel 73"/>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4" w:customStyle="1">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5" w:customStyle="1">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6" w:customStyle="1">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7" w:customStyle="1">
    <w:name w:val="ListLabel 7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8" w:customStyle="1">
    <w:name w:val="ListLabel 78"/>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9" w:customStyle="1">
    <w:name w:val="ListLabel 79"/>
    <w:rPr>
      <w:rFonts w:cs="Times New Roman"/>
    </w:rPr>
  </w:style>
  <w:style w:type="character" w:styleId="ListLabel80" w:customStyle="1">
    <w:name w:val="ListLabel 80"/>
    <w:rPr>
      <w:rFonts w:cs="Times New Roman"/>
    </w:rPr>
  </w:style>
  <w:style w:type="character" w:styleId="ListLabel81" w:customStyle="1">
    <w:name w:val="ListLabel 81"/>
    <w:rPr>
      <w:rFonts w:cs="Times New Roman"/>
    </w:rPr>
  </w:style>
  <w:style w:type="character" w:styleId="ListLabel82" w:customStyle="1">
    <w:name w:val="ListLabel 82"/>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3" w:customStyle="1">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4" w:customStyle="1">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5" w:customStyle="1">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6" w:customStyle="1">
    <w:name w:val="ListLabel 8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7" w:customStyle="1">
    <w:name w:val="ListLabel 8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8" w:customStyle="1">
    <w:name w:val="ListLabel 88"/>
    <w:rPr>
      <w:rFonts w:cs="Times New Roman"/>
    </w:rPr>
  </w:style>
  <w:style w:type="character" w:styleId="ListLabel89" w:customStyle="1">
    <w:name w:val="ListLabel 89"/>
    <w:rPr>
      <w:rFonts w:cs="Times New Roman"/>
    </w:rPr>
  </w:style>
  <w:style w:type="character" w:styleId="ListLabel90" w:customStyle="1">
    <w:name w:val="ListLabel 90"/>
    <w:rPr>
      <w:rFonts w:cs="Times New Roman"/>
    </w:rPr>
  </w:style>
  <w:style w:type="numbering" w:styleId="NoList1" w:customStyle="1">
    <w:name w:val="No List_1"/>
    <w:basedOn w:val="NoList"/>
    <w:pPr>
      <w:numPr>
        <w:numId w:val="1"/>
      </w:numPr>
    </w:pPr>
  </w:style>
  <w:style w:type="numbering" w:styleId="WWNum1" w:customStyle="1">
    <w:name w:val="WWNum1"/>
    <w:basedOn w:val="NoList"/>
    <w:pPr>
      <w:numPr>
        <w:numId w:val="2"/>
      </w:numPr>
    </w:pPr>
  </w:style>
  <w:style w:type="numbering" w:styleId="WWNum2" w:customStyle="1">
    <w:name w:val="WWNum2"/>
    <w:basedOn w:val="NoList"/>
    <w:pPr>
      <w:numPr>
        <w:numId w:val="3"/>
      </w:numPr>
    </w:pPr>
  </w:style>
  <w:style w:type="numbering" w:styleId="WWNum3" w:customStyle="1">
    <w:name w:val="WWNum3"/>
    <w:basedOn w:val="NoList"/>
    <w:pPr>
      <w:numPr>
        <w:numId w:val="4"/>
      </w:numPr>
    </w:pPr>
  </w:style>
  <w:style w:type="numbering" w:styleId="WWNum4" w:customStyle="1">
    <w:name w:val="WWNum4"/>
    <w:basedOn w:val="NoList"/>
    <w:pPr>
      <w:numPr>
        <w:numId w:val="5"/>
      </w:numPr>
    </w:pPr>
  </w:style>
  <w:style w:type="numbering" w:styleId="WWNum5" w:customStyle="1">
    <w:name w:val="WWNum5"/>
    <w:basedOn w:val="NoList"/>
    <w:pPr>
      <w:numPr>
        <w:numId w:val="6"/>
      </w:numPr>
    </w:pPr>
  </w:style>
  <w:style w:type="numbering" w:styleId="WWNum6" w:customStyle="1">
    <w:name w:val="WWNum6"/>
    <w:basedOn w:val="NoList"/>
    <w:pPr>
      <w:numPr>
        <w:numId w:val="7"/>
      </w:numPr>
    </w:pPr>
  </w:style>
  <w:style w:type="numbering" w:styleId="WWNum7" w:customStyle="1">
    <w:name w:val="WWNum7"/>
    <w:basedOn w:val="NoList"/>
    <w:pPr>
      <w:numPr>
        <w:numId w:val="8"/>
      </w:numPr>
    </w:pPr>
  </w:style>
  <w:style w:type="numbering" w:styleId="WWNum8" w:customStyle="1">
    <w:name w:val="WWNum8"/>
    <w:basedOn w:val="NoList"/>
    <w:pPr>
      <w:numPr>
        <w:numId w:val="9"/>
      </w:numPr>
    </w:pPr>
  </w:style>
  <w:style w:type="numbering" w:styleId="WWNum9" w:customStyle="1">
    <w:name w:val="WWNum9"/>
    <w:basedOn w:val="NoList"/>
    <w:pPr>
      <w:numPr>
        <w:numId w:val="10"/>
      </w:numPr>
    </w:pPr>
  </w:style>
  <w:style w:type="numbering" w:styleId="WWNum10" w:customStyle="1">
    <w:name w:val="WWNum10"/>
    <w:basedOn w:val="NoList"/>
    <w:pPr>
      <w:numPr>
        <w:numId w:val="11"/>
      </w:numPr>
    </w:pPr>
  </w:style>
  <w:style w:type="numbering" w:styleId="WWNum11" w:customStyle="1">
    <w:name w:val="WWNum11"/>
    <w:basedOn w:val="NoList"/>
    <w:pPr>
      <w:numPr>
        <w:numId w:val="12"/>
      </w:numPr>
    </w:pPr>
  </w:style>
  <w:style w:type="numbering" w:styleId="WWNum12" w:customStyle="1">
    <w:name w:val="WWNum12"/>
    <w:basedOn w:val="NoList"/>
    <w:pPr>
      <w:numPr>
        <w:numId w:val="21"/>
      </w:numPr>
    </w:pPr>
  </w:style>
  <w:style w:type="numbering" w:styleId="WWNum13" w:customStyle="1">
    <w:name w:val="WWNum13"/>
    <w:basedOn w:val="NoList"/>
    <w:pPr>
      <w:numPr>
        <w:numId w:val="14"/>
      </w:numPr>
    </w:pPr>
  </w:style>
  <w:style w:type="table" w:styleId="TableGrid">
    <w:name w:val="Table Grid"/>
    <w:basedOn w:val="TableNormal"/>
    <w:uiPriority w:val="59"/>
    <w:rsid w:val="007A5C9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AMainHeading" w:customStyle="1">
    <w:name w:val="FA: Main Heading"/>
    <w:basedOn w:val="Heading1"/>
    <w:qFormat w:val="1"/>
    <w:rsid w:val="00532FDD"/>
    <w:pPr>
      <w:numPr>
        <w:numId w:val="22"/>
      </w:numPr>
      <w:tabs>
        <w:tab w:val="num" w:pos="360"/>
      </w:tabs>
      <w:suppressAutoHyphens w:val="0"/>
      <w:autoSpaceDN w:val="1"/>
      <w:spacing w:after="20" w:before="20"/>
      <w:ind w:left="0" w:firstLine="0"/>
      <w:textAlignment w:val="auto"/>
    </w:pPr>
    <w:rPr>
      <w:rFonts w:ascii="Arial" w:cs="Arial" w:eastAsia="Calibri" w:hAnsi="Arial"/>
      <w:b w:val="1"/>
      <w:color w:val="auto"/>
      <w:sz w:val="22"/>
      <w:szCs w:val="36"/>
      <w:lang w:eastAsia="en-GB"/>
    </w:rPr>
  </w:style>
  <w:style w:type="paragraph" w:styleId="FALevel1" w:customStyle="1">
    <w:name w:val="FA: Level 1"/>
    <w:basedOn w:val="Normal"/>
    <w:link w:val="FALevel1Char"/>
    <w:qFormat w:val="1"/>
    <w:rsid w:val="00532FDD"/>
    <w:pPr>
      <w:widowControl w:val="1"/>
      <w:numPr>
        <w:ilvl w:val="1"/>
        <w:numId w:val="22"/>
      </w:numPr>
      <w:suppressAutoHyphens w:val="0"/>
      <w:autoSpaceDN w:val="1"/>
      <w:spacing w:after="280" w:before="120" w:line="259" w:lineRule="auto"/>
      <w:textAlignment w:val="auto"/>
    </w:pPr>
    <w:rPr>
      <w:rFonts w:ascii="Arial" w:cs="Arial" w:hAnsi="Arial" w:eastAsiaTheme="minorHAnsi"/>
    </w:rPr>
  </w:style>
  <w:style w:type="character" w:styleId="FALevel1Char" w:customStyle="1">
    <w:name w:val="FA: Level 1 Char"/>
    <w:basedOn w:val="DefaultParagraphFont"/>
    <w:link w:val="FALevel1"/>
    <w:rsid w:val="00532FDD"/>
    <w:rPr>
      <w:rFonts w:ascii="Arial" w:cs="Arial" w:hAnsi="Arial" w:eastAsiaTheme="minorHAnsi"/>
    </w:rPr>
  </w:style>
  <w:style w:type="paragraph" w:styleId="FALevel2" w:customStyle="1">
    <w:name w:val="FA: Level 2"/>
    <w:basedOn w:val="Normal"/>
    <w:link w:val="FALevel2Char"/>
    <w:qFormat w:val="1"/>
    <w:rsid w:val="00532FDD"/>
    <w:pPr>
      <w:widowControl w:val="1"/>
      <w:numPr>
        <w:ilvl w:val="2"/>
        <w:numId w:val="22"/>
      </w:numPr>
      <w:suppressAutoHyphens w:val="0"/>
      <w:autoSpaceDN w:val="1"/>
      <w:spacing w:after="280" w:before="120" w:line="259" w:lineRule="auto"/>
      <w:textAlignment w:val="auto"/>
    </w:pPr>
    <w:rPr>
      <w:rFonts w:ascii="Arial" w:cs="Arial" w:hAnsi="Arial" w:eastAsiaTheme="minorHAnsi"/>
    </w:rPr>
  </w:style>
  <w:style w:type="character" w:styleId="FALevel2Char" w:customStyle="1">
    <w:name w:val="FA: Level 2 Char"/>
    <w:basedOn w:val="DefaultParagraphFont"/>
    <w:link w:val="FALevel2"/>
    <w:rsid w:val="00532FDD"/>
    <w:rPr>
      <w:rFonts w:ascii="Arial" w:cs="Arial" w:hAnsi="Arial" w:eastAsiaTheme="minorHAnsi"/>
    </w:rPr>
  </w:style>
  <w:style w:type="character" w:styleId="Heading1Char" w:customStyle="1">
    <w:name w:val="Heading 1 Char"/>
    <w:basedOn w:val="DefaultParagraphFont"/>
    <w:link w:val="Heading1"/>
    <w:uiPriority w:val="9"/>
    <w:rsid w:val="00532FDD"/>
    <w:rPr>
      <w:rFonts w:asciiTheme="majorHAnsi" w:cstheme="majorBidi" w:eastAsiaTheme="majorEastAsia" w:hAnsiTheme="majorHAnsi"/>
      <w:color w:val="2f5496" w:themeColor="accent1" w:themeShade="0000BF"/>
      <w:sz w:val="32"/>
      <w:szCs w:val="32"/>
    </w:rPr>
  </w:style>
  <w:style w:type="paragraph" w:styleId="FABulletPoints" w:customStyle="1">
    <w:name w:val="FA: Bullet Points"/>
    <w:basedOn w:val="Normal"/>
    <w:link w:val="FABulletPointsChar"/>
    <w:qFormat w:val="1"/>
    <w:rsid w:val="00532FDD"/>
    <w:pPr>
      <w:widowControl w:val="1"/>
      <w:numPr>
        <w:numId w:val="23"/>
      </w:numPr>
      <w:suppressAutoHyphens w:val="0"/>
      <w:autoSpaceDN w:val="1"/>
      <w:textAlignment w:val="auto"/>
    </w:pPr>
    <w:rPr>
      <w:rFonts w:ascii="Arial" w:cs="Arial" w:hAnsi="Arial" w:eastAsiaTheme="minorHAnsi"/>
    </w:rPr>
  </w:style>
  <w:style w:type="character" w:styleId="FABulletPointsChar" w:customStyle="1">
    <w:name w:val="FA: Bullet Points Char"/>
    <w:basedOn w:val="DefaultParagraphFont"/>
    <w:link w:val="FABulletPoints"/>
    <w:rsid w:val="00532FDD"/>
    <w:rPr>
      <w:rFonts w:ascii="Arial" w:cs="Arial" w:hAnsi="Arial" w:eastAsiaTheme="minorHAnsi"/>
    </w:rPr>
  </w:style>
  <w:style w:type="paragraph" w:styleId="Revision">
    <w:name w:val="Revision"/>
    <w:hidden w:val="1"/>
    <w:uiPriority w:val="99"/>
    <w:semiHidden w:val="1"/>
    <w:rsid w:val="00CE0EDB"/>
    <w:pPr>
      <w:widowControl w:val="1"/>
      <w:suppressAutoHyphens w:val="0"/>
      <w:autoSpaceDN w:val="1"/>
      <w:textAlignment w:val="auto"/>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aH/dORcZwRJQkRaMgyfi6LGK12Q==">AMUW2mWet/QiwbbkE5tKkQRzr13DtK5NpNGtx5UaYxTgeBfAFhYf4tXZ38ALyFPRm7XV67NVarzRfB2GcKdB/w5srvF9KywLv5niq2ZUaTkRonvvhpGyAtZUHDnj26q3fzivVsMRpQCucYLs1tA99lmUojU0Q1QagUAHXP4EdPHI8/zB6i1MpbR1OSy+Uhm6I9oB/KtYG8jHkP5dbSThqdFdfo0R9YdlmrGKbPZnYfIw+tnW9a5CMS9D2gZb/d8X4IkXv+/yHgyTmzCM2jJlgpke+QZb8rOub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2020-10-16T08:22:00Z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